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47" w:rsidRDefault="00C46347" w:rsidP="00967614">
      <w:pPr>
        <w:spacing w:line="480" w:lineRule="auto"/>
      </w:pPr>
    </w:p>
    <w:p w:rsidR="000F00EC" w:rsidRDefault="000F00EC" w:rsidP="00967614">
      <w:pPr>
        <w:spacing w:line="480" w:lineRule="auto"/>
      </w:pPr>
    </w:p>
    <w:p w:rsidR="00901281" w:rsidRDefault="00901281" w:rsidP="00967614">
      <w:pPr>
        <w:spacing w:line="480" w:lineRule="auto"/>
      </w:pPr>
    </w:p>
    <w:p w:rsidR="0070648F" w:rsidRPr="00967614" w:rsidRDefault="0096335F" w:rsidP="00967614">
      <w:pPr>
        <w:spacing w:line="480" w:lineRule="auto"/>
        <w:jc w:val="center"/>
      </w:pPr>
      <w:r>
        <w:t>Post-Secondary Schooling</w:t>
      </w:r>
      <w:r w:rsidR="00A15CA5" w:rsidRPr="00967614">
        <w:t xml:space="preserve"> and </w:t>
      </w:r>
      <w:r w:rsidR="00C062A3" w:rsidRPr="00967614">
        <w:t>Parental Resources</w:t>
      </w:r>
      <w:r w:rsidR="00E23F3B" w:rsidRPr="00967614">
        <w:t>:</w:t>
      </w:r>
      <w:r w:rsidR="00E12225" w:rsidRPr="00967614">
        <w:t xml:space="preserve"> Evidence from the </w:t>
      </w:r>
      <w:r w:rsidR="00DD3BC8" w:rsidRPr="00967614">
        <w:t>PSID and HRS</w:t>
      </w:r>
    </w:p>
    <w:p w:rsidR="0070648F" w:rsidRDefault="0070648F" w:rsidP="00967614">
      <w:pPr>
        <w:spacing w:line="480" w:lineRule="auto"/>
        <w:jc w:val="center"/>
      </w:pPr>
    </w:p>
    <w:p w:rsidR="00430133" w:rsidRPr="00967614" w:rsidRDefault="00430133" w:rsidP="00967614">
      <w:pPr>
        <w:spacing w:line="480" w:lineRule="auto"/>
        <w:jc w:val="center"/>
      </w:pPr>
    </w:p>
    <w:p w:rsidR="00C46347" w:rsidRPr="00967614" w:rsidRDefault="00C5028C" w:rsidP="00967614">
      <w:pPr>
        <w:spacing w:line="480" w:lineRule="auto"/>
        <w:jc w:val="center"/>
      </w:pPr>
      <w:r w:rsidRPr="00967614">
        <w:t xml:space="preserve">Steven </w:t>
      </w:r>
      <w:r w:rsidR="00833144" w:rsidRPr="00967614">
        <w:t xml:space="preserve">J. </w:t>
      </w:r>
      <w:r w:rsidRPr="00967614">
        <w:t>Haider</w:t>
      </w:r>
    </w:p>
    <w:p w:rsidR="00C5028C" w:rsidRPr="00967614" w:rsidRDefault="00C5028C" w:rsidP="00967614">
      <w:pPr>
        <w:spacing w:line="480" w:lineRule="auto"/>
        <w:jc w:val="center"/>
      </w:pPr>
      <w:r w:rsidRPr="00967614">
        <w:t xml:space="preserve">Michigan </w:t>
      </w:r>
      <w:r w:rsidR="008E4FF4" w:rsidRPr="00967614">
        <w:t>State University</w:t>
      </w:r>
      <w:r w:rsidR="00D015E9" w:rsidRPr="00967614">
        <w:t xml:space="preserve"> and IZA</w:t>
      </w:r>
    </w:p>
    <w:p w:rsidR="00A15673" w:rsidRPr="00967614" w:rsidRDefault="00A15673" w:rsidP="00967614">
      <w:pPr>
        <w:spacing w:line="480" w:lineRule="auto"/>
        <w:jc w:val="center"/>
      </w:pPr>
    </w:p>
    <w:p w:rsidR="008E4FF4" w:rsidRPr="00967614" w:rsidRDefault="008E4FF4" w:rsidP="00967614">
      <w:pPr>
        <w:spacing w:line="480" w:lineRule="auto"/>
        <w:jc w:val="center"/>
      </w:pPr>
      <w:r w:rsidRPr="00967614">
        <w:t>Kathleen McGarry</w:t>
      </w:r>
    </w:p>
    <w:p w:rsidR="008E4FF4" w:rsidRPr="00967614" w:rsidRDefault="008E4FF4" w:rsidP="00967614">
      <w:pPr>
        <w:spacing w:line="480" w:lineRule="auto"/>
        <w:jc w:val="center"/>
      </w:pPr>
      <w:r w:rsidRPr="00967614">
        <w:t>University of California, Los Angeles</w:t>
      </w:r>
      <w:r w:rsidR="00D015E9" w:rsidRPr="00967614">
        <w:t xml:space="preserve"> </w:t>
      </w:r>
      <w:r w:rsidRPr="00967614">
        <w:t>and NBER</w:t>
      </w:r>
    </w:p>
    <w:p w:rsidR="000E2BE1" w:rsidRDefault="000E2BE1" w:rsidP="00967614">
      <w:pPr>
        <w:spacing w:line="480" w:lineRule="auto"/>
        <w:jc w:val="center"/>
      </w:pPr>
    </w:p>
    <w:p w:rsidR="00967614" w:rsidRDefault="00967614" w:rsidP="00967614">
      <w:pPr>
        <w:spacing w:line="480" w:lineRule="auto"/>
        <w:jc w:val="center"/>
      </w:pPr>
    </w:p>
    <w:p w:rsidR="00916E06" w:rsidRDefault="00DF52F5" w:rsidP="00967614">
      <w:pPr>
        <w:spacing w:line="480" w:lineRule="auto"/>
        <w:jc w:val="center"/>
      </w:pPr>
      <w:r>
        <w:t xml:space="preserve">September </w:t>
      </w:r>
      <w:r w:rsidR="00602229">
        <w:t>201</w:t>
      </w:r>
      <w:r w:rsidR="00265BDE">
        <w:t>4</w:t>
      </w:r>
    </w:p>
    <w:p w:rsidR="00395288" w:rsidRDefault="00395288" w:rsidP="00967614">
      <w:pPr>
        <w:spacing w:line="480" w:lineRule="auto"/>
        <w:jc w:val="center"/>
      </w:pPr>
    </w:p>
    <w:p w:rsidR="00967614" w:rsidRDefault="00967614" w:rsidP="00967614">
      <w:pPr>
        <w:spacing w:line="480" w:lineRule="auto"/>
      </w:pPr>
    </w:p>
    <w:p w:rsidR="00967614" w:rsidRDefault="00967614" w:rsidP="00967614">
      <w:pPr>
        <w:spacing w:line="480" w:lineRule="auto"/>
      </w:pPr>
    </w:p>
    <w:p w:rsidR="00967614" w:rsidRDefault="00967614" w:rsidP="00967614">
      <w:pPr>
        <w:spacing w:line="480" w:lineRule="auto"/>
      </w:pPr>
    </w:p>
    <w:p w:rsidR="00430133" w:rsidRDefault="00B328AB" w:rsidP="00F56F8E">
      <w:r>
        <w:t xml:space="preserve">The authors thank </w:t>
      </w:r>
      <w:r w:rsidR="00E67CEF">
        <w:t xml:space="preserve">Scott Imberman, </w:t>
      </w:r>
      <w:r>
        <w:t xml:space="preserve">Mike </w:t>
      </w:r>
      <w:proofErr w:type="spellStart"/>
      <w:r>
        <w:t>Lovenheim</w:t>
      </w:r>
      <w:proofErr w:type="spellEnd"/>
      <w:r w:rsidR="00B2035E">
        <w:t xml:space="preserve">, and Sarah </w:t>
      </w:r>
      <w:proofErr w:type="spellStart"/>
      <w:r w:rsidR="00B2035E">
        <w:t>Turner</w:t>
      </w:r>
      <w:r>
        <w:t>for</w:t>
      </w:r>
      <w:proofErr w:type="spellEnd"/>
      <w:r>
        <w:t xml:space="preserve"> </w:t>
      </w:r>
      <w:r w:rsidR="00901281">
        <w:t xml:space="preserve">helpful input on previous drafts of the paper.  </w:t>
      </w:r>
      <w:r w:rsidR="00244450">
        <w:t>E</w:t>
      </w:r>
      <w:r>
        <w:t xml:space="preserve">mails: </w:t>
      </w:r>
      <w:hyperlink r:id="rId9" w:history="1">
        <w:r w:rsidR="00D22A3B" w:rsidRPr="00B25154">
          <w:rPr>
            <w:rStyle w:val="Hyperlink"/>
          </w:rPr>
          <w:t>haider@msu.edu</w:t>
        </w:r>
      </w:hyperlink>
      <w:r w:rsidR="00D22A3B">
        <w:t xml:space="preserve"> and </w:t>
      </w:r>
      <w:hyperlink r:id="rId10" w:history="1">
        <w:r w:rsidR="00F7491F" w:rsidRPr="00B25154">
          <w:rPr>
            <w:rStyle w:val="Hyperlink"/>
          </w:rPr>
          <w:t>mcgarry@ucla.edu</w:t>
        </w:r>
      </w:hyperlink>
      <w:r w:rsidR="002030AE">
        <w:t>.</w:t>
      </w:r>
      <w:r w:rsidR="00F7491F">
        <w:t xml:space="preserve"> </w:t>
      </w:r>
      <w:r>
        <w:t xml:space="preserve"> </w:t>
      </w:r>
      <w:r w:rsidR="00C46347">
        <w:br w:type="page"/>
      </w:r>
    </w:p>
    <w:p w:rsidR="00F56F8E" w:rsidRPr="004E07ED" w:rsidRDefault="00F56F8E" w:rsidP="00F56F8E">
      <w:pPr>
        <w:spacing w:line="360" w:lineRule="auto"/>
        <w:rPr>
          <w:b/>
        </w:rPr>
      </w:pPr>
      <w:r>
        <w:rPr>
          <w:b/>
        </w:rPr>
        <w:lastRenderedPageBreak/>
        <w:t>Abstract</w:t>
      </w:r>
    </w:p>
    <w:p w:rsidR="00293105" w:rsidRDefault="00B50286" w:rsidP="00F56F8E">
      <w:pPr>
        <w:spacing w:line="480" w:lineRule="auto"/>
      </w:pPr>
      <w:r>
        <w:t xml:space="preserve">We examine the association between young adult </w:t>
      </w:r>
      <w:r w:rsidR="00B71AC0">
        <w:t>post-secondary schooling</w:t>
      </w:r>
      <w:r>
        <w:t xml:space="preserve"> and parental financial resources using two data sets that contain high quality data on parental resources</w:t>
      </w:r>
      <w:r w:rsidR="00EF3B0B">
        <w:t>,</w:t>
      </w:r>
      <w:r>
        <w:t xml:space="preserve"> the Panel Study of Income Dynamics (PSID) and the Health and Retirement Study (HRS).  We find that the association is pervasive</w:t>
      </w:r>
      <w:r w:rsidR="00D977E8">
        <w:t xml:space="preserve">:  it exists for income and </w:t>
      </w:r>
      <w:r w:rsidR="00DC0817">
        <w:t>wealth</w:t>
      </w:r>
      <w:r w:rsidR="00D977E8">
        <w:t xml:space="preserve">, it extends far up </w:t>
      </w:r>
      <w:r w:rsidR="00BA75F2">
        <w:t>the</w:t>
      </w:r>
      <w:r w:rsidR="00974B47">
        <w:t xml:space="preserve"> income and </w:t>
      </w:r>
      <w:r w:rsidR="00DC0817">
        <w:t>wealth</w:t>
      </w:r>
      <w:r w:rsidR="00974B47">
        <w:t xml:space="preserve"> </w:t>
      </w:r>
      <w:r w:rsidR="00BA75F2">
        <w:t xml:space="preserve">distributions, </w:t>
      </w:r>
      <w:r w:rsidR="00D977E8">
        <w:t>it remains</w:t>
      </w:r>
      <w:r w:rsidR="00BA75F2">
        <w:t xml:space="preserve"> even after we control for a host of</w:t>
      </w:r>
      <w:r w:rsidR="00130ABF">
        <w:t xml:space="preserve"> other</w:t>
      </w:r>
      <w:r w:rsidR="00BA75F2">
        <w:t xml:space="preserve"> characteristics, </w:t>
      </w:r>
      <w:r w:rsidR="008642F7">
        <w:t xml:space="preserve">and </w:t>
      </w:r>
      <w:r w:rsidR="00D977E8">
        <w:t xml:space="preserve">it </w:t>
      </w:r>
      <w:r w:rsidR="00FF05F4">
        <w:t>continues</w:t>
      </w:r>
      <w:r w:rsidR="00E140A9">
        <w:t xml:space="preserve"> beyond</w:t>
      </w:r>
      <w:r w:rsidR="00631E74">
        <w:t xml:space="preserve"> simply beginning </w:t>
      </w:r>
      <w:r w:rsidR="00B71AC0">
        <w:t>post-secondary schooling</w:t>
      </w:r>
      <w:r w:rsidR="004C1E7A">
        <w:t xml:space="preserve"> </w:t>
      </w:r>
      <w:r w:rsidR="009F4172">
        <w:t>t</w:t>
      </w:r>
      <w:r w:rsidR="00AE448E">
        <w:t>o completing a four year degree</w:t>
      </w:r>
      <w:r>
        <w:t xml:space="preserve">.  Using </w:t>
      </w:r>
      <w:r w:rsidR="002F55B8">
        <w:t xml:space="preserve">the Transition to Adulthood (TA) </w:t>
      </w:r>
      <w:r>
        <w:t xml:space="preserve">supplemental </w:t>
      </w:r>
      <w:r w:rsidR="002F55B8">
        <w:t>to</w:t>
      </w:r>
      <w:r>
        <w:t xml:space="preserve"> the PSID, we also find that</w:t>
      </w:r>
      <w:r w:rsidR="0030235F">
        <w:t xml:space="preserve"> financial resources strongly affect </w:t>
      </w:r>
      <w:r w:rsidR="007802C2">
        <w:t>post-secondary schooling</w:t>
      </w:r>
      <w:r w:rsidR="0030235F">
        <w:t xml:space="preserve"> at all levels of high school achievement, and particularly for those at the highest level of achievement.</w:t>
      </w:r>
      <w:r w:rsidR="00712E60">
        <w:t xml:space="preserve"> </w:t>
      </w:r>
    </w:p>
    <w:p w:rsidR="00293105" w:rsidRDefault="00293105" w:rsidP="00F56F8E">
      <w:pPr>
        <w:spacing w:line="480" w:lineRule="auto"/>
      </w:pPr>
    </w:p>
    <w:p w:rsidR="00FF5142" w:rsidRDefault="00FF5142" w:rsidP="00F56F8E">
      <w:pPr>
        <w:spacing w:line="480" w:lineRule="auto"/>
      </w:pPr>
    </w:p>
    <w:p w:rsidR="00293105" w:rsidRDefault="00293105" w:rsidP="00293105">
      <w:pPr>
        <w:spacing w:line="480" w:lineRule="auto"/>
      </w:pPr>
    </w:p>
    <w:p w:rsidR="000E2BE1" w:rsidRDefault="000E2BE1" w:rsidP="00F56F8E">
      <w:pPr>
        <w:spacing w:line="480" w:lineRule="auto"/>
        <w:rPr>
          <w:b/>
        </w:rPr>
      </w:pPr>
      <w:r>
        <w:rPr>
          <w:b/>
        </w:rPr>
        <w:br w:type="page"/>
      </w:r>
    </w:p>
    <w:p w:rsidR="008512EF" w:rsidRPr="004E07ED" w:rsidRDefault="008512EF" w:rsidP="008512EF">
      <w:pPr>
        <w:spacing w:line="360" w:lineRule="auto"/>
        <w:rPr>
          <w:b/>
        </w:rPr>
      </w:pPr>
      <w:r w:rsidRPr="004E07ED">
        <w:rPr>
          <w:b/>
        </w:rPr>
        <w:lastRenderedPageBreak/>
        <w:t xml:space="preserve">1. </w:t>
      </w:r>
      <w:r w:rsidR="00F836E3" w:rsidRPr="004E07ED">
        <w:rPr>
          <w:b/>
        </w:rPr>
        <w:t>Introduction</w:t>
      </w:r>
    </w:p>
    <w:p w:rsidR="00E555D7" w:rsidRDefault="00F56AE2" w:rsidP="00090193">
      <w:pPr>
        <w:spacing w:line="480" w:lineRule="auto"/>
      </w:pPr>
      <w:r>
        <w:t xml:space="preserve">Education has long been viewed as an important public good and is subsidized in numerous ways by various levels of government.  With respect to post-secondary education, </w:t>
      </w:r>
      <w:r w:rsidR="000A21F8">
        <w:t>these subsidies occur</w:t>
      </w:r>
      <w:r w:rsidR="006E4555">
        <w:t xml:space="preserve">, for example, </w:t>
      </w:r>
      <w:r w:rsidR="000A21F8">
        <w:t>through the existence of</w:t>
      </w:r>
      <w:r>
        <w:t xml:space="preserve"> </w:t>
      </w:r>
      <w:r w:rsidR="005058AC">
        <w:t>tax-supported</w:t>
      </w:r>
      <w:r w:rsidR="006E4555">
        <w:t>,</w:t>
      </w:r>
      <w:r w:rsidR="005058AC">
        <w:t xml:space="preserve"> </w:t>
      </w:r>
      <w:r>
        <w:t>public universities and fed</w:t>
      </w:r>
      <w:r w:rsidR="005058AC">
        <w:t>eral grants and loans.</w:t>
      </w:r>
      <w:r w:rsidR="006C05E3">
        <w:t xml:space="preserve">  Moreover, </w:t>
      </w:r>
      <w:r w:rsidR="00FF718C">
        <w:t>given that education is one of the primary avenues through which young adults can move up through the income distribution, the accessibility of post-secondary education can have important implications to t</w:t>
      </w:r>
      <w:r w:rsidR="00E555D7">
        <w:t xml:space="preserve">he persistence of </w:t>
      </w:r>
      <w:r w:rsidR="002B4FDE">
        <w:t>inequality</w:t>
      </w:r>
      <w:r w:rsidR="00E555D7">
        <w:t xml:space="preserve"> across generations.</w:t>
      </w:r>
      <w:r w:rsidR="00A47F62">
        <w:rPr>
          <w:rStyle w:val="FootnoteReference"/>
        </w:rPr>
        <w:footnoteReference w:id="1"/>
      </w:r>
      <w:r w:rsidR="00E555D7">
        <w:t xml:space="preserve"> </w:t>
      </w:r>
      <w:r w:rsidR="004632E4">
        <w:t xml:space="preserve"> </w:t>
      </w:r>
    </w:p>
    <w:p w:rsidR="00923FCA" w:rsidRDefault="00E555D7">
      <w:pPr>
        <w:spacing w:line="480" w:lineRule="auto"/>
        <w:ind w:firstLine="720"/>
      </w:pPr>
      <w:r>
        <w:t xml:space="preserve">Despite the </w:t>
      </w:r>
      <w:r w:rsidR="00685E31">
        <w:t xml:space="preserve">long-standing </w:t>
      </w:r>
      <w:r>
        <w:t>efforts</w:t>
      </w:r>
      <w:r w:rsidR="00340E3F">
        <w:t xml:space="preserve"> to make higher education accessible</w:t>
      </w:r>
      <w:r>
        <w:t xml:space="preserve">, </w:t>
      </w:r>
      <w:r w:rsidR="00293105">
        <w:t>n</w:t>
      </w:r>
      <w:r w:rsidR="00C57454">
        <w:t xml:space="preserve">umerous studies have found a </w:t>
      </w:r>
      <w:r w:rsidR="00E60B94">
        <w:t>strong differences in college attendance by family income level, with th</w:t>
      </w:r>
      <w:r w:rsidR="003038D3">
        <w:t>ese</w:t>
      </w:r>
      <w:r w:rsidR="00E60B94">
        <w:t xml:space="preserve"> </w:t>
      </w:r>
      <w:r w:rsidR="00FE0001">
        <w:t>differences</w:t>
      </w:r>
      <w:r w:rsidR="00E60B94">
        <w:t xml:space="preserve"> existing</w:t>
      </w:r>
      <w:r w:rsidR="003038D3">
        <w:t xml:space="preserve"> </w:t>
      </w:r>
      <w:r w:rsidR="0041635F">
        <w:t>for students of all achievement levels</w:t>
      </w:r>
      <w:r w:rsidR="00C57454">
        <w:t xml:space="preserve"> </w:t>
      </w:r>
      <w:r w:rsidR="00C57454" w:rsidRPr="00164AF0">
        <w:t>(</w:t>
      </w:r>
      <w:r w:rsidR="00C57454">
        <w:t xml:space="preserve">e.g., Smith, </w:t>
      </w:r>
      <w:r w:rsidR="0057515B">
        <w:t>Y</w:t>
      </w:r>
      <w:r w:rsidR="00C57454">
        <w:t>oung, et al. 1997 and Ellwood and Kane 2000</w:t>
      </w:r>
      <w:r w:rsidR="00C57454" w:rsidRPr="00164AF0">
        <w:t>)</w:t>
      </w:r>
      <w:r w:rsidR="00C57454">
        <w:t xml:space="preserve"> and </w:t>
      </w:r>
      <w:r w:rsidR="00E60B94">
        <w:t>becoming</w:t>
      </w:r>
      <w:r w:rsidR="00C57454">
        <w:t xml:space="preserve"> stronger over time (e.g., </w:t>
      </w:r>
      <w:proofErr w:type="spellStart"/>
      <w:r w:rsidR="00C57454" w:rsidRPr="00120DFF">
        <w:t>Belley</w:t>
      </w:r>
      <w:proofErr w:type="spellEnd"/>
      <w:r w:rsidR="00C57454" w:rsidRPr="00120DFF">
        <w:t xml:space="preserve"> and Lochner</w:t>
      </w:r>
      <w:r w:rsidR="00C57454">
        <w:t xml:space="preserve"> 2007</w:t>
      </w:r>
      <w:r w:rsidR="00C57454" w:rsidRPr="00120DFF">
        <w:t xml:space="preserve">, Bailey and </w:t>
      </w:r>
      <w:proofErr w:type="spellStart"/>
      <w:r w:rsidR="00C57454" w:rsidRPr="00120DFF">
        <w:t>Dynarski</w:t>
      </w:r>
      <w:proofErr w:type="spellEnd"/>
      <w:r w:rsidR="00C57454">
        <w:t xml:space="preserve"> 2011, </w:t>
      </w:r>
      <w:proofErr w:type="spellStart"/>
      <w:r w:rsidR="00C57454">
        <w:t>Lovenheim</w:t>
      </w:r>
      <w:proofErr w:type="spellEnd"/>
      <w:r w:rsidR="00C57454">
        <w:t xml:space="preserve"> and Reynolds 2011</w:t>
      </w:r>
      <w:r w:rsidR="00C57454" w:rsidRPr="00120DFF">
        <w:t>)</w:t>
      </w:r>
      <w:r w:rsidR="00C57454">
        <w:t>.</w:t>
      </w:r>
      <w:r w:rsidR="00E00051">
        <w:t xml:space="preserve">  Recent work has further shown that, even among </w:t>
      </w:r>
      <w:r w:rsidR="00E00051" w:rsidRPr="00E00051">
        <w:t>high achieving</w:t>
      </w:r>
      <w:r w:rsidR="00E00051" w:rsidRPr="00B30CF5">
        <w:rPr>
          <w:i/>
        </w:rPr>
        <w:t xml:space="preserve"> </w:t>
      </w:r>
      <w:r w:rsidR="00E00051">
        <w:t xml:space="preserve">students </w:t>
      </w:r>
      <w:r w:rsidR="00E00051" w:rsidRPr="00EE261E">
        <w:t xml:space="preserve">who </w:t>
      </w:r>
      <w:r w:rsidR="00E00051" w:rsidRPr="00B30CF5">
        <w:t>apply</w:t>
      </w:r>
      <w:r w:rsidR="00E00051">
        <w:t xml:space="preserve"> to college, low income students select far less competitive institutions than their higher income peers (Avery and </w:t>
      </w:r>
      <w:proofErr w:type="spellStart"/>
      <w:r w:rsidR="00E00051">
        <w:t>Hoxby</w:t>
      </w:r>
      <w:proofErr w:type="spellEnd"/>
      <w:r w:rsidR="00E00051">
        <w:t xml:space="preserve"> 2012, </w:t>
      </w:r>
      <w:proofErr w:type="spellStart"/>
      <w:r w:rsidR="00E00051">
        <w:t>Hoxby</w:t>
      </w:r>
      <w:proofErr w:type="spellEnd"/>
      <w:r w:rsidR="00E00051">
        <w:t xml:space="preserve"> and Turner 2013).  </w:t>
      </w:r>
      <w:r w:rsidR="008C1CAE">
        <w:t xml:space="preserve"> </w:t>
      </w:r>
      <w:r w:rsidR="00B27C40">
        <w:t xml:space="preserve">Given the well-documented </w:t>
      </w:r>
      <w:r w:rsidR="00FC2E33">
        <w:t xml:space="preserve">correlation between </w:t>
      </w:r>
      <w:r w:rsidR="001C6063">
        <w:t xml:space="preserve">post-secondary </w:t>
      </w:r>
      <w:r w:rsidR="00FC2E33">
        <w:t xml:space="preserve">education and income, these patterns </w:t>
      </w:r>
      <w:r w:rsidR="008D14AC">
        <w:t>indicate an important avenue through which inequality is transmitted across generations.</w:t>
      </w:r>
      <w:r w:rsidR="008C1CAE">
        <w:t xml:space="preserve"> </w:t>
      </w:r>
    </w:p>
    <w:p w:rsidR="00863108" w:rsidRDefault="00863108" w:rsidP="00863108">
      <w:pPr>
        <w:spacing w:line="480" w:lineRule="auto"/>
        <w:ind w:firstLine="720"/>
      </w:pPr>
      <w:r>
        <w:t xml:space="preserve">In attempting to understand the mechanisms underlying the correlation between family </w:t>
      </w:r>
      <w:r w:rsidR="003038D3">
        <w:t>resources</w:t>
      </w:r>
      <w:r>
        <w:t xml:space="preserve"> and post-secondary enrollments, economists have frequently examined the role of credit constraints—</w:t>
      </w:r>
      <w:r w:rsidR="003038D3">
        <w:t xml:space="preserve">the notion </w:t>
      </w:r>
      <w:r>
        <w:t>that some young adults may not have</w:t>
      </w:r>
      <w:r w:rsidR="003038D3">
        <w:t xml:space="preserve"> access to</w:t>
      </w:r>
      <w:r>
        <w:t xml:space="preserve"> sufficient</w:t>
      </w:r>
      <w:r w:rsidR="008C2D3F">
        <w:t xml:space="preserve"> </w:t>
      </w:r>
      <w:r>
        <w:t>funds</w:t>
      </w:r>
      <w:r w:rsidR="003038D3">
        <w:t xml:space="preserve"> </w:t>
      </w:r>
      <w:r>
        <w:t xml:space="preserve">to </w:t>
      </w:r>
      <w:r w:rsidR="003038D3">
        <w:t>obtain</w:t>
      </w:r>
      <w:r>
        <w:t xml:space="preserve"> the desired level of </w:t>
      </w:r>
      <w:r w:rsidR="00420B7F">
        <w:t>schooling</w:t>
      </w:r>
      <w:r>
        <w:t xml:space="preserve">.  Although early studies found little evidence that credit constraints affected college attendance in the 1980’s, studies examining more recent time periods </w:t>
      </w:r>
      <w:r>
        <w:lastRenderedPageBreak/>
        <w:t>have concluded that credit constraints are important for some.</w:t>
      </w:r>
      <w:r>
        <w:rPr>
          <w:rStyle w:val="FootnoteReference"/>
        </w:rPr>
        <w:footnoteReference w:id="2"/>
      </w:r>
      <w:r>
        <w:t xml:space="preserve">  Other potential mechanisms that could lead to the positive correlation between family income and attendance are difference in tastes or ability that are correlated with financial resources, or even reverse causality</w:t>
      </w:r>
      <w:r w:rsidR="003038D3">
        <w:t>—the possibilities that families that value education work more or save more in order to afford additional years of schooling</w:t>
      </w:r>
      <w:r>
        <w:t xml:space="preserve">. </w:t>
      </w:r>
    </w:p>
    <w:p w:rsidR="00E84C43" w:rsidRDefault="00E84C43" w:rsidP="00E84C43">
      <w:pPr>
        <w:spacing w:line="480" w:lineRule="auto"/>
        <w:ind w:firstLine="720"/>
      </w:pPr>
      <w:r>
        <w:t xml:space="preserve">An important limitation of many of these previous studies is that, </w:t>
      </w:r>
      <w:r w:rsidR="00CE495C">
        <w:t>although</w:t>
      </w:r>
      <w:r>
        <w:t xml:space="preserve"> they use data sets that contain </w:t>
      </w:r>
      <w:r w:rsidR="001D6CDC">
        <w:t xml:space="preserve">detailed </w:t>
      </w:r>
      <w:r>
        <w:t xml:space="preserve">information about the child, </w:t>
      </w:r>
      <w:r w:rsidR="006722D5">
        <w:t xml:space="preserve">they use </w:t>
      </w:r>
      <w:r>
        <w:t xml:space="preserve">data sets </w:t>
      </w:r>
      <w:r w:rsidR="006722D5">
        <w:t xml:space="preserve">that </w:t>
      </w:r>
      <w:r>
        <w:t xml:space="preserve">contain much weaker information regarding the parents.  For example, several prominent data sets rely on the child’s report of parental income, </w:t>
      </w:r>
      <w:r w:rsidR="001D6CDC">
        <w:t xml:space="preserve">a measure </w:t>
      </w:r>
      <w:r>
        <w:t xml:space="preserve">which </w:t>
      </w:r>
      <w:r w:rsidR="001D6CDC">
        <w:t>likely</w:t>
      </w:r>
      <w:r>
        <w:t xml:space="preserve"> contain</w:t>
      </w:r>
      <w:r w:rsidR="001D6CDC">
        <w:t>s</w:t>
      </w:r>
      <w:r>
        <w:t xml:space="preserve"> substantial measurement error.  Those data sets that </w:t>
      </w:r>
      <w:r w:rsidR="001D6CDC">
        <w:t xml:space="preserve">do </w:t>
      </w:r>
      <w:r>
        <w:t xml:space="preserve">interview parents directly often </w:t>
      </w:r>
      <w:r w:rsidR="004A38AE">
        <w:t xml:space="preserve">collect financial information years before or after </w:t>
      </w:r>
      <w:r>
        <w:t>the child is making the decision to attend college</w:t>
      </w:r>
      <w:r w:rsidR="003B1E19">
        <w:t>, missing any anticipated or unanticipated changes in resources</w:t>
      </w:r>
      <w:r w:rsidR="00007BCA">
        <w:t xml:space="preserve"> that are most proximate to the attendance decision</w:t>
      </w:r>
      <w:r>
        <w:t xml:space="preserve">.  Moreover, most data sets only collect information about the income of parents, but parental </w:t>
      </w:r>
      <w:r w:rsidR="00306AE8">
        <w:t>wealth</w:t>
      </w:r>
      <w:r>
        <w:t xml:space="preserve"> </w:t>
      </w:r>
      <w:r w:rsidR="00114850">
        <w:t>c</w:t>
      </w:r>
      <w:r>
        <w:t xml:space="preserve">ould </w:t>
      </w:r>
      <w:r w:rsidR="00114850">
        <w:t xml:space="preserve">also </w:t>
      </w:r>
      <w:r>
        <w:t xml:space="preserve">play a role in the attendance decision. </w:t>
      </w:r>
    </w:p>
    <w:p w:rsidR="00F5554D" w:rsidRDefault="00E555D7" w:rsidP="00F5554D">
      <w:pPr>
        <w:spacing w:line="480" w:lineRule="auto"/>
        <w:ind w:firstLine="720"/>
      </w:pPr>
      <w:r>
        <w:t>In this paper</w:t>
      </w:r>
      <w:r w:rsidR="00F3052C">
        <w:t>,</w:t>
      </w:r>
      <w:r>
        <w:t xml:space="preserve"> </w:t>
      </w:r>
      <w:r w:rsidR="00B62270">
        <w:t xml:space="preserve">we </w:t>
      </w:r>
      <w:r w:rsidR="00AB6814">
        <w:t xml:space="preserve">use high quality data on parental income and wealth to examine </w:t>
      </w:r>
      <w:r w:rsidR="00B62270">
        <w:t>three questions</w:t>
      </w:r>
      <w:r w:rsidR="00BE49E6">
        <w:t>.</w:t>
      </w:r>
      <w:r w:rsidR="00753933">
        <w:t xml:space="preserve"> </w:t>
      </w:r>
      <w:r w:rsidR="00B62270">
        <w:t xml:space="preserve"> </w:t>
      </w:r>
      <w:r w:rsidR="00B62270" w:rsidRPr="0044450A">
        <w:t xml:space="preserve">How are family financial resources related to college attendance?  Do other parental characteristics matter after controlling for financial resources?  </w:t>
      </w:r>
      <w:r w:rsidR="00B62270">
        <w:t>And, h</w:t>
      </w:r>
      <w:r w:rsidR="00B62270" w:rsidRPr="0044450A">
        <w:t>ow do</w:t>
      </w:r>
      <w:r w:rsidR="00B62270">
        <w:t>es the relationship between financial resources and college attendance vary with high school achievement</w:t>
      </w:r>
      <w:r w:rsidR="00B62270" w:rsidRPr="0044450A">
        <w:t>?</w:t>
      </w:r>
      <w:r w:rsidR="00B62270">
        <w:t xml:space="preserve"> </w:t>
      </w:r>
      <w:r w:rsidR="00074E4A">
        <w:t xml:space="preserve"> </w:t>
      </w:r>
      <w:r w:rsidR="00E84C43">
        <w:t xml:space="preserve"> </w:t>
      </w:r>
      <w:r w:rsidR="00F5554D">
        <w:t xml:space="preserve">Our primary data are from the Panel Study of Income Dynamics (PSID), a biennial survey (in recent years) that began in 1968 and has continuously followed these </w:t>
      </w:r>
      <w:r w:rsidR="00A2107E">
        <w:t xml:space="preserve">initial </w:t>
      </w:r>
      <w:r w:rsidR="00F5554D">
        <w:t xml:space="preserve">families and their children.  For a subsample of young adults in the PSID, we additionally make use of the Transition to Adulthood (TA) supplement, which includes additional information on the academic preparedness of the young adults.  We supplement our PSID results with results from the Health </w:t>
      </w:r>
      <w:r w:rsidR="00F5554D">
        <w:lastRenderedPageBreak/>
        <w:t>and Retirement Study (HRS), a nationally representative survey of the population approximately ages 50 or older and their partners/spouses.</w:t>
      </w:r>
    </w:p>
    <w:p w:rsidR="00F813D9" w:rsidRDefault="00F5554D" w:rsidP="00A2107E">
      <w:pPr>
        <w:spacing w:line="480" w:lineRule="auto"/>
        <w:ind w:firstLine="720"/>
      </w:pPr>
      <w:r>
        <w:t xml:space="preserve">We find that </w:t>
      </w:r>
      <w:r w:rsidR="00A2107E">
        <w:t xml:space="preserve">both </w:t>
      </w:r>
      <w:r w:rsidR="00BB55F7">
        <w:t xml:space="preserve">parental </w:t>
      </w:r>
      <w:r>
        <w:t xml:space="preserve">income and </w:t>
      </w:r>
      <w:r w:rsidR="00A2107E">
        <w:t>wealth</w:t>
      </w:r>
      <w:r>
        <w:t xml:space="preserve"> </w:t>
      </w:r>
      <w:r w:rsidR="00A2107E">
        <w:t>have</w:t>
      </w:r>
      <w:r>
        <w:t xml:space="preserve"> sizable and independent associations with college attendance</w:t>
      </w:r>
      <w:r w:rsidR="00C57290">
        <w:t>,</w:t>
      </w:r>
      <w:r>
        <w:t xml:space="preserve"> that these </w:t>
      </w:r>
      <w:r w:rsidR="00A2107E">
        <w:t>relationships</w:t>
      </w:r>
      <w:r>
        <w:t xml:space="preserve"> persist throughout the income and </w:t>
      </w:r>
      <w:r w:rsidR="00CA316F">
        <w:t>wealth</w:t>
      </w:r>
      <w:r>
        <w:t xml:space="preserve"> distributions</w:t>
      </w:r>
      <w:r w:rsidR="00421537">
        <w:t>, and that these relationships</w:t>
      </w:r>
      <w:r>
        <w:t xml:space="preserve"> remain even after controlling for a host of other parental characteristics.  We </w:t>
      </w:r>
      <w:r w:rsidR="00A2107E">
        <w:t>f</w:t>
      </w:r>
      <w:r>
        <w:t>urther</w:t>
      </w:r>
      <w:r w:rsidR="003A7863">
        <w:t xml:space="preserve"> find</w:t>
      </w:r>
      <w:r>
        <w:t xml:space="preserve"> that these strong associations extend beyond just the decision to enter college, but also affect the completion of four years of college.  Moreover, our r</w:t>
      </w:r>
      <w:r w:rsidRPr="004F0B52">
        <w:t xml:space="preserve">esults are remarkably similar </w:t>
      </w:r>
      <w:r w:rsidR="00A2107E">
        <w:t>in the PSID and HRS</w:t>
      </w:r>
      <w:r w:rsidRPr="004F0B52">
        <w:t xml:space="preserve">.  Finally, when considering how the association between financial resources and college outcomes varies by </w:t>
      </w:r>
      <w:r w:rsidR="00B36435">
        <w:t>student achievement</w:t>
      </w:r>
      <w:r w:rsidRPr="004F0B52">
        <w:t xml:space="preserve">, we find that </w:t>
      </w:r>
      <w:r w:rsidR="00A2107E">
        <w:t xml:space="preserve">low-income students in the top third of the </w:t>
      </w:r>
      <w:r w:rsidR="000E16F7">
        <w:t xml:space="preserve">GPA </w:t>
      </w:r>
      <w:r w:rsidR="00A2107E">
        <w:t>distribution have a lower probability of attending college than high-income students in the lowest GPA tercile.</w:t>
      </w:r>
      <w:r w:rsidR="000E16F7">
        <w:t xml:space="preserve"> We conclude that the effect of familial resources can be powerful enough to offset differences in academic performance.</w:t>
      </w:r>
      <w:r w:rsidR="00A2107E">
        <w:t xml:space="preserve"> </w:t>
      </w:r>
    </w:p>
    <w:p w:rsidR="00A2107E" w:rsidRDefault="00A2107E" w:rsidP="00F813D9">
      <w:pPr>
        <w:spacing w:line="480" w:lineRule="auto"/>
        <w:ind w:firstLine="720"/>
      </w:pPr>
      <w:r>
        <w:t xml:space="preserve">Our paper is organized as follows. In the first section we summarize briefly the large literature </w:t>
      </w:r>
      <w:r w:rsidR="000E16F7">
        <w:t xml:space="preserve">focusing </w:t>
      </w:r>
      <w:r>
        <w:t>o</w:t>
      </w:r>
      <w:r w:rsidR="000E16F7">
        <w:t>n</w:t>
      </w:r>
      <w:r>
        <w:t xml:space="preserve"> the role of financial status </w:t>
      </w:r>
      <w:r w:rsidR="000E16F7">
        <w:t>in affecting</w:t>
      </w:r>
      <w:r>
        <w:t xml:space="preserve"> college attendance, noting the limits imposed by the available data. We then discuss the data we use to implement the analyses contained in this work. Section 3 presents our results for income and wealth, and section 4 examines how these estimated effects compare with the importance of high school GPA. </w:t>
      </w:r>
      <w:r w:rsidR="00E555D7">
        <w:t xml:space="preserve"> </w:t>
      </w:r>
      <w:r w:rsidR="00310C8A">
        <w:t>The last section summarizes are findings and discusses the implications of our results.</w:t>
      </w:r>
    </w:p>
    <w:p w:rsidR="00090193" w:rsidRDefault="00090193" w:rsidP="00042065">
      <w:pPr>
        <w:spacing w:line="480" w:lineRule="auto"/>
        <w:ind w:firstLine="720"/>
        <w:rPr>
          <w:b/>
          <w:sz w:val="28"/>
          <w:szCs w:val="28"/>
        </w:rPr>
      </w:pPr>
    </w:p>
    <w:p w:rsidR="00C849C8" w:rsidRPr="004E07ED" w:rsidRDefault="00C849C8" w:rsidP="00C849C8">
      <w:pPr>
        <w:spacing w:line="360" w:lineRule="auto"/>
      </w:pPr>
      <w:r w:rsidRPr="004E07ED">
        <w:rPr>
          <w:b/>
        </w:rPr>
        <w:t xml:space="preserve">2.  </w:t>
      </w:r>
      <w:r w:rsidR="00BD667C" w:rsidRPr="004E07ED">
        <w:rPr>
          <w:b/>
        </w:rPr>
        <w:t>Background</w:t>
      </w:r>
      <w:r w:rsidR="00F0060F">
        <w:rPr>
          <w:b/>
        </w:rPr>
        <w:t xml:space="preserve"> and Literature Review</w:t>
      </w:r>
    </w:p>
    <w:p w:rsidR="00651773" w:rsidRDefault="00651773" w:rsidP="00090193">
      <w:pPr>
        <w:spacing w:line="480" w:lineRule="auto"/>
      </w:pPr>
      <w:r>
        <w:t>The potentially important role of parent</w:t>
      </w:r>
      <w:r w:rsidR="00E75C3C">
        <w:t>al</w:t>
      </w:r>
      <w:r>
        <w:t xml:space="preserve"> contributi</w:t>
      </w:r>
      <w:r w:rsidR="00CD2F9B">
        <w:t>ons</w:t>
      </w:r>
      <w:r>
        <w:t xml:space="preserve"> to the </w:t>
      </w:r>
      <w:r w:rsidR="008809C6">
        <w:t>human capital acquisition</w:t>
      </w:r>
      <w:r>
        <w:t xml:space="preserve"> of </w:t>
      </w:r>
      <w:r w:rsidR="00B77809">
        <w:t>young adults</w:t>
      </w:r>
      <w:r>
        <w:t>, a</w:t>
      </w:r>
      <w:r w:rsidR="00B0256F">
        <w:t>nd the</w:t>
      </w:r>
      <w:r>
        <w:t xml:space="preserve"> possibility </w:t>
      </w:r>
      <w:r w:rsidR="000E16F7">
        <w:t xml:space="preserve">that </w:t>
      </w:r>
      <w:r>
        <w:t>these contributions represent an important ave</w:t>
      </w:r>
      <w:r w:rsidR="008809C6">
        <w:t>nue through which inequality is transmitted across generations,</w:t>
      </w:r>
      <w:r w:rsidR="007B61B1">
        <w:t xml:space="preserve"> has been the subject of a rich </w:t>
      </w:r>
      <w:r w:rsidR="00B0256F">
        <w:t xml:space="preserve">body of literature in </w:t>
      </w:r>
      <w:r w:rsidR="007B61B1">
        <w:lastRenderedPageBreak/>
        <w:t xml:space="preserve">economics.  </w:t>
      </w:r>
      <w:r w:rsidR="005F1B18">
        <w:t>M</w:t>
      </w:r>
      <w:r w:rsidR="002F2796">
        <w:t>any</w:t>
      </w:r>
      <w:r w:rsidR="005F1B18">
        <w:t xml:space="preserve"> of the</w:t>
      </w:r>
      <w:r w:rsidR="00B0256F">
        <w:t xml:space="preserve"> mechanisms through which resources affect educational attainment</w:t>
      </w:r>
      <w:r w:rsidR="005F1B18">
        <w:t xml:space="preserve"> were laid </w:t>
      </w:r>
      <w:r w:rsidR="007E7DE2">
        <w:t xml:space="preserve">out </w:t>
      </w:r>
      <w:r w:rsidR="005F1B18">
        <w:t xml:space="preserve">in </w:t>
      </w:r>
      <w:r w:rsidR="009B75DE">
        <w:t>Becker (</w:t>
      </w:r>
      <w:r w:rsidR="00592AC8">
        <w:t>1975</w:t>
      </w:r>
      <w:r w:rsidR="009B75DE">
        <w:t>) and</w:t>
      </w:r>
      <w:r w:rsidR="005F1B18">
        <w:t xml:space="preserve"> </w:t>
      </w:r>
      <w:r w:rsidR="007B61B1">
        <w:t>Becker and Tomes</w:t>
      </w:r>
      <w:r w:rsidR="005F1B18">
        <w:t xml:space="preserve"> (1979, 1986)</w:t>
      </w:r>
      <w:r w:rsidR="003B617C">
        <w:t xml:space="preserve">, including </w:t>
      </w:r>
      <w:r w:rsidR="000471FB">
        <w:t>the potential importance of credit constraints</w:t>
      </w:r>
      <w:r w:rsidR="00B76AC0">
        <w:t>.</w:t>
      </w:r>
      <w:r w:rsidR="000471FB">
        <w:t xml:space="preserve">  Since th</w:t>
      </w:r>
      <w:r w:rsidR="00F50308">
        <w:t>ose early papers,</w:t>
      </w:r>
      <w:r w:rsidR="000471FB">
        <w:t xml:space="preserve"> numerous </w:t>
      </w:r>
      <w:r w:rsidR="005D21D5">
        <w:t>empirical studies</w:t>
      </w:r>
      <w:r w:rsidR="000471FB">
        <w:t xml:space="preserve"> have </w:t>
      </w:r>
      <w:r w:rsidR="00B335E5">
        <w:t>documented the substantial</w:t>
      </w:r>
      <w:r w:rsidR="00F50308">
        <w:t xml:space="preserve"> differences in the socio-economic</w:t>
      </w:r>
      <w:r w:rsidR="00B335E5">
        <w:t xml:space="preserve"> </w:t>
      </w:r>
      <w:r w:rsidR="000C08F8">
        <w:t>background</w:t>
      </w:r>
      <w:r w:rsidR="00F50308">
        <w:t>s of</w:t>
      </w:r>
      <w:r w:rsidR="00B335E5">
        <w:t xml:space="preserve"> those who attend college and those who do not.</w:t>
      </w:r>
    </w:p>
    <w:p w:rsidR="00A244D7" w:rsidRDefault="00DF21A6" w:rsidP="00711E8D">
      <w:pPr>
        <w:spacing w:line="480" w:lineRule="auto"/>
        <w:ind w:firstLine="720"/>
      </w:pPr>
      <w:r>
        <w:t xml:space="preserve">Unfortunately, despite the centrality of measures of familial resources in these studies, the data sets on which they have relied contain far richer information on the children themselves than on the </w:t>
      </w:r>
      <w:r w:rsidR="002D6327">
        <w:t>financial resources</w:t>
      </w:r>
      <w:r>
        <w:t xml:space="preserve"> of the parents.  </w:t>
      </w:r>
      <w:r w:rsidR="00A244D7">
        <w:t xml:space="preserve">For example, two data sets commonly used to examine college attendance, the High School and Beyond </w:t>
      </w:r>
      <w:r w:rsidR="000E16F7">
        <w:t xml:space="preserve">study </w:t>
      </w:r>
      <w:r w:rsidR="00A244D7">
        <w:t>(HSB)</w:t>
      </w:r>
      <w:r w:rsidR="00B22B8B">
        <w:t xml:space="preserve"> </w:t>
      </w:r>
      <w:r w:rsidR="00A244D7">
        <w:t xml:space="preserve">and the National Educational Longitudinal Study (NELS), </w:t>
      </w:r>
      <w:r>
        <w:t>have only</w:t>
      </w:r>
      <w:r w:rsidR="00A244D7">
        <w:t xml:space="preserve"> a child’s report of </w:t>
      </w:r>
      <w:r>
        <w:t xml:space="preserve">his </w:t>
      </w:r>
      <w:r w:rsidR="00A244D7">
        <w:t>parent</w:t>
      </w:r>
      <w:r>
        <w:t>s’</w:t>
      </w:r>
      <w:r w:rsidR="00A244D7">
        <w:t xml:space="preserve"> income, which </w:t>
      </w:r>
      <w:r>
        <w:t>undoubtedly</w:t>
      </w:r>
      <w:r w:rsidR="00A244D7">
        <w:t xml:space="preserve"> contains substantial measurement error.  Two other data sets, the National Longitudinal Study of Youth 1979 (NLSY79) and the National Longitudinal Study of Youth 1997 (NLSY97), interview parents to obtain information on family income, but do so only </w:t>
      </w:r>
      <w:r w:rsidR="000426A0">
        <w:t>during</w:t>
      </w:r>
      <w:r w:rsidR="00A244D7">
        <w:t xml:space="preserve"> the first </w:t>
      </w:r>
      <w:r w:rsidR="00B6715F">
        <w:t>wave</w:t>
      </w:r>
      <w:r w:rsidR="00133475">
        <w:t xml:space="preserve"> of the panel</w:t>
      </w:r>
      <w:r>
        <w:t xml:space="preserve">. </w:t>
      </w:r>
      <w:r w:rsidR="00BB776B">
        <w:t>Because c</w:t>
      </w:r>
      <w:r>
        <w:t xml:space="preserve">hildren </w:t>
      </w:r>
      <w:r w:rsidR="000426A0">
        <w:t>were</w:t>
      </w:r>
      <w:r>
        <w:t xml:space="preserve"> </w:t>
      </w:r>
      <w:r w:rsidR="00DD51BC">
        <w:t>14-22</w:t>
      </w:r>
      <w:r>
        <w:t xml:space="preserve"> years old at the beginning of the NLSY79 and </w:t>
      </w:r>
      <w:r w:rsidR="00903E8B">
        <w:t>12-16</w:t>
      </w:r>
      <w:r>
        <w:t xml:space="preserve"> in the NLSY97</w:t>
      </w:r>
      <w:r w:rsidR="000426A0">
        <w:t>,</w:t>
      </w:r>
      <w:r w:rsidR="00BB776B">
        <w:t xml:space="preserve"> the reports of parent</w:t>
      </w:r>
      <w:r w:rsidR="002D6327">
        <w:t>al</w:t>
      </w:r>
      <w:r w:rsidR="00BB776B">
        <w:t xml:space="preserve"> income could be several years </w:t>
      </w:r>
      <w:r w:rsidR="00075910">
        <w:t xml:space="preserve">away from when </w:t>
      </w:r>
      <w:r>
        <w:t>many of the children</w:t>
      </w:r>
      <w:r w:rsidR="00A244D7">
        <w:t xml:space="preserve"> </w:t>
      </w:r>
      <w:r w:rsidR="00BB776B">
        <w:t>were making</w:t>
      </w:r>
      <w:r w:rsidR="00A244D7">
        <w:t xml:space="preserve"> the decision to attend college. </w:t>
      </w:r>
      <w:r>
        <w:t xml:space="preserve"> </w:t>
      </w:r>
      <w:r w:rsidR="007627C1">
        <w:t xml:space="preserve">However, even an accurate and timely report of parental income still overlooks the fact that the ability of parents to pay for college could also depend on parental wealth.  </w:t>
      </w:r>
      <w:r w:rsidR="00A244D7">
        <w:t>Of these widely used data sets, only the NLSY97 collects information about</w:t>
      </w:r>
      <w:r w:rsidR="000E16F7">
        <w:t xml:space="preserve"> </w:t>
      </w:r>
      <w:r w:rsidR="0096118A">
        <w:t>both parental</w:t>
      </w:r>
      <w:r w:rsidR="000E16F7">
        <w:t xml:space="preserve"> income and</w:t>
      </w:r>
      <w:r w:rsidR="00A244D7">
        <w:t xml:space="preserve"> </w:t>
      </w:r>
      <w:r w:rsidR="00DC0817">
        <w:t>wealth</w:t>
      </w:r>
      <w:r w:rsidR="002E73BF">
        <w:t xml:space="preserve">, but again, does so </w:t>
      </w:r>
      <w:r w:rsidR="005E11F4">
        <w:t xml:space="preserve">only </w:t>
      </w:r>
      <w:r w:rsidR="002E73BF">
        <w:t xml:space="preserve">at the initial interview. </w:t>
      </w:r>
    </w:p>
    <w:p w:rsidR="00B10F1B" w:rsidRDefault="000E16F7" w:rsidP="007D54DA">
      <w:pPr>
        <w:spacing w:line="480" w:lineRule="auto"/>
        <w:ind w:firstLine="720"/>
      </w:pPr>
      <w:r>
        <w:t xml:space="preserve">Even with the limitations resulting for the data themselves, </w:t>
      </w:r>
      <w:r w:rsidR="004204B1">
        <w:t xml:space="preserve">previous </w:t>
      </w:r>
      <w:r w:rsidR="00014166">
        <w:t>studies have</w:t>
      </w:r>
      <w:r>
        <w:t xml:space="preserve"> </w:t>
      </w:r>
      <w:r w:rsidR="00014166">
        <w:t xml:space="preserve">shed important light on the </w:t>
      </w:r>
      <w:r w:rsidR="00D32ABD">
        <w:t>relationship between</w:t>
      </w:r>
      <w:r w:rsidR="00014166">
        <w:t xml:space="preserve"> </w:t>
      </w:r>
      <w:r w:rsidR="002E73BF">
        <w:t xml:space="preserve">child and family </w:t>
      </w:r>
      <w:r w:rsidR="00BF4FC3">
        <w:t xml:space="preserve">characteristics </w:t>
      </w:r>
      <w:r w:rsidR="00C92D35">
        <w:t>and</w:t>
      </w:r>
      <w:r w:rsidR="00BF4FC3">
        <w:t xml:space="preserve"> college attendance</w:t>
      </w:r>
      <w:r w:rsidR="00014166">
        <w:t xml:space="preserve">.  For example, </w:t>
      </w:r>
      <w:r w:rsidR="002E73BF">
        <w:t xml:space="preserve">using both the HS&amp;B survey and the NELS, </w:t>
      </w:r>
      <w:r w:rsidR="0057093E">
        <w:t xml:space="preserve">a National Center for </w:t>
      </w:r>
      <w:r w:rsidR="0057093E">
        <w:lastRenderedPageBreak/>
        <w:t xml:space="preserve">Education Statistics (1997) report points </w:t>
      </w:r>
      <w:r w:rsidR="002E73BF">
        <w:t xml:space="preserve">to </w:t>
      </w:r>
      <w:r w:rsidR="0083371A" w:rsidRPr="00ED720D">
        <w:t>a</w:t>
      </w:r>
      <w:r w:rsidR="00A702FB" w:rsidRPr="00ED720D">
        <w:t xml:space="preserve"> s</w:t>
      </w:r>
      <w:r w:rsidR="002E73BF">
        <w:t>trong positive relationship bet</w:t>
      </w:r>
      <w:r w:rsidR="00835F2F">
        <w:t>w</w:t>
      </w:r>
      <w:r w:rsidR="002E73BF">
        <w:t>een</w:t>
      </w:r>
      <w:r w:rsidR="00A702FB" w:rsidRPr="00ED720D">
        <w:t xml:space="preserve"> college enrollment </w:t>
      </w:r>
      <w:r w:rsidR="002E73BF">
        <w:t xml:space="preserve">and the </w:t>
      </w:r>
      <w:r w:rsidR="00A702FB" w:rsidRPr="00ED720D">
        <w:t>SES of the parent even among the children in the highest achievement quartile (p. 64)</w:t>
      </w:r>
      <w:r w:rsidR="00A43AD7">
        <w:t>.  T</w:t>
      </w:r>
      <w:r w:rsidR="00C43875">
        <w:t xml:space="preserve">hese findings are echoed in many other studies (e.g., Ellwood and Kane 2000 and </w:t>
      </w:r>
      <w:proofErr w:type="spellStart"/>
      <w:r w:rsidR="00C43875">
        <w:t>Kinsler</w:t>
      </w:r>
      <w:proofErr w:type="spellEnd"/>
      <w:r w:rsidR="00C43875">
        <w:t xml:space="preserve"> and </w:t>
      </w:r>
      <w:proofErr w:type="spellStart"/>
      <w:r w:rsidR="00C43875">
        <w:t>Pavan</w:t>
      </w:r>
      <w:proofErr w:type="spellEnd"/>
      <w:r w:rsidR="00C43875">
        <w:t xml:space="preserve"> 2010)</w:t>
      </w:r>
      <w:r w:rsidR="00410C6A" w:rsidRPr="00ED720D">
        <w:t xml:space="preserve">.  </w:t>
      </w:r>
      <w:r w:rsidR="00987C08" w:rsidRPr="00ED720D">
        <w:t>Several studies</w:t>
      </w:r>
      <w:r>
        <w:t xml:space="preserve"> using</w:t>
      </w:r>
      <w:r w:rsidR="009D1987">
        <w:t xml:space="preserve"> </w:t>
      </w:r>
      <w:r w:rsidR="007D54DA" w:rsidRPr="00ED720D">
        <w:t>the NLSY</w:t>
      </w:r>
      <w:r w:rsidR="00E74CBB" w:rsidRPr="00ED720D">
        <w:t>79 and NLSY97</w:t>
      </w:r>
      <w:r w:rsidR="009D1987">
        <w:t xml:space="preserve"> examine the change in these relationships </w:t>
      </w:r>
      <w:r w:rsidR="002E73BF">
        <w:t>over</w:t>
      </w:r>
      <w:r w:rsidR="008142DA">
        <w:t xml:space="preserve"> </w:t>
      </w:r>
      <w:r w:rsidR="002E73BF">
        <w:t>time</w:t>
      </w:r>
      <w:r w:rsidR="006D487B">
        <w:t xml:space="preserve"> and find</w:t>
      </w:r>
      <w:r w:rsidR="002E73BF">
        <w:t xml:space="preserve"> that the importance of parental income in affecting college attendance has increased over this two-decade period</w:t>
      </w:r>
      <w:r w:rsidR="007D54DA" w:rsidRPr="00ED720D">
        <w:t xml:space="preserve"> </w:t>
      </w:r>
      <w:r w:rsidR="00987C08" w:rsidRPr="00ED720D">
        <w:t xml:space="preserve">(e.g., </w:t>
      </w:r>
      <w:proofErr w:type="spellStart"/>
      <w:r w:rsidR="00987C08" w:rsidRPr="00ED720D">
        <w:t>Belley</w:t>
      </w:r>
      <w:proofErr w:type="spellEnd"/>
      <w:r w:rsidR="00987C08" w:rsidRPr="00ED720D">
        <w:t xml:space="preserve"> and Lochner 2007, Bailey and </w:t>
      </w:r>
      <w:proofErr w:type="spellStart"/>
      <w:r w:rsidR="00987C08" w:rsidRPr="00ED720D">
        <w:t>Dynarski</w:t>
      </w:r>
      <w:proofErr w:type="spellEnd"/>
      <w:r w:rsidR="00987C08" w:rsidRPr="00ED720D">
        <w:t xml:space="preserve"> 2011, and </w:t>
      </w:r>
      <w:proofErr w:type="spellStart"/>
      <w:r w:rsidR="00987C08" w:rsidRPr="00ED720D">
        <w:t>Lovenheim</w:t>
      </w:r>
      <w:proofErr w:type="spellEnd"/>
      <w:r w:rsidR="00987C08" w:rsidRPr="00ED720D">
        <w:t xml:space="preserve"> and Reynolds 2011)</w:t>
      </w:r>
      <w:r w:rsidR="002B1D28" w:rsidRPr="00ED720D">
        <w:t>.</w:t>
      </w:r>
      <w:r w:rsidR="00D00114">
        <w:t xml:space="preserve">  </w:t>
      </w:r>
      <w:r w:rsidR="008142DA">
        <w:t>O</w:t>
      </w:r>
      <w:r w:rsidR="00A43AD7">
        <w:t xml:space="preserve">ther studies have found that </w:t>
      </w:r>
      <w:r w:rsidR="00D00114">
        <w:t xml:space="preserve">that these income gradients become </w:t>
      </w:r>
      <w:r w:rsidR="00FF63E1">
        <w:t>flatter</w:t>
      </w:r>
      <w:r w:rsidR="002E73BF">
        <w:t xml:space="preserve"> </w:t>
      </w:r>
      <w:r w:rsidR="00D00114">
        <w:t xml:space="preserve">once one also controls for ability differences (e.g., Cameron and Heckman 1998 and </w:t>
      </w:r>
      <w:proofErr w:type="spellStart"/>
      <w:r w:rsidR="00D00114">
        <w:t>Carneiro</w:t>
      </w:r>
      <w:proofErr w:type="spellEnd"/>
      <w:r w:rsidR="00D00114">
        <w:t xml:space="preserve"> and Heckman 2002).</w:t>
      </w:r>
      <w:r w:rsidR="007D54DA">
        <w:t xml:space="preserve">  </w:t>
      </w:r>
    </w:p>
    <w:p w:rsidR="00AF28EC" w:rsidRDefault="00E26541" w:rsidP="007D54DA">
      <w:pPr>
        <w:spacing w:line="480" w:lineRule="auto"/>
        <w:ind w:firstLine="720"/>
      </w:pPr>
      <w:r>
        <w:t xml:space="preserve">With respect to the role of </w:t>
      </w:r>
      <w:r w:rsidR="00F649D7">
        <w:t>wealth</w:t>
      </w:r>
      <w:r>
        <w:t xml:space="preserve">, </w:t>
      </w:r>
      <w:r w:rsidR="00AF28EC">
        <w:t xml:space="preserve">  </w:t>
      </w:r>
      <w:proofErr w:type="spellStart"/>
      <w:r w:rsidR="00AF28EC">
        <w:t>Be</w:t>
      </w:r>
      <w:r w:rsidR="0056527F">
        <w:t>lley</w:t>
      </w:r>
      <w:proofErr w:type="spellEnd"/>
      <w:r w:rsidR="0056527F">
        <w:t xml:space="preserve"> and Lochner (2007)</w:t>
      </w:r>
      <w:r w:rsidR="00AF28EC">
        <w:t>, us</w:t>
      </w:r>
      <w:r>
        <w:t>e</w:t>
      </w:r>
      <w:r w:rsidR="00DC0817">
        <w:t xml:space="preserve"> </w:t>
      </w:r>
      <w:r w:rsidR="00AF28EC">
        <w:t>the first wave of the NLSY97</w:t>
      </w:r>
      <w:r>
        <w:t xml:space="preserve"> to</w:t>
      </w:r>
      <w:r w:rsidR="00AF28EC">
        <w:t xml:space="preserve"> </w:t>
      </w:r>
      <w:r w:rsidR="003F10BB">
        <w:t>find</w:t>
      </w:r>
      <w:r w:rsidR="00D974C5">
        <w:t xml:space="preserve"> th</w:t>
      </w:r>
      <w:r w:rsidR="00FD3809">
        <w:t>at</w:t>
      </w:r>
      <w:r w:rsidR="00D974C5">
        <w:t xml:space="preserve"> </w:t>
      </w:r>
      <w:r w:rsidR="00DC0817">
        <w:t>wealth</w:t>
      </w:r>
      <w:r w:rsidR="00FD3809">
        <w:t xml:space="preserve"> remain</w:t>
      </w:r>
      <w:r w:rsidR="00DC0817">
        <w:t>s</w:t>
      </w:r>
      <w:r w:rsidR="00FD3809">
        <w:t xml:space="preserve"> an important determinant of college attendance even after controlling for family income and </w:t>
      </w:r>
      <w:r w:rsidR="00AF28EC">
        <w:t>demographic</w:t>
      </w:r>
      <w:r w:rsidR="00D31F00">
        <w:t xml:space="preserve"> characteristics.  </w:t>
      </w:r>
      <w:r w:rsidR="00812CB8">
        <w:t>C</w:t>
      </w:r>
      <w:r w:rsidR="00AF28EC" w:rsidRPr="00AF28EC">
        <w:t xml:space="preserve">onley (2001) </w:t>
      </w:r>
      <w:r>
        <w:t xml:space="preserve">find similar results based on the </w:t>
      </w:r>
      <w:r w:rsidR="00AF28EC">
        <w:t xml:space="preserve">1984 PSID </w:t>
      </w:r>
      <w:r w:rsidR="008041C5">
        <w:t>wealth</w:t>
      </w:r>
      <w:r w:rsidR="00AF28EC">
        <w:t xml:space="preserve"> supplement.</w:t>
      </w:r>
      <w:r w:rsidR="004D5CDD">
        <w:rPr>
          <w:rStyle w:val="FootnoteReference"/>
        </w:rPr>
        <w:footnoteReference w:id="3"/>
      </w:r>
      <w:r w:rsidR="00AF28EC">
        <w:t xml:space="preserve"> </w:t>
      </w:r>
    </w:p>
    <w:p w:rsidR="0050675C" w:rsidRDefault="00D31F00" w:rsidP="0050675C">
      <w:pPr>
        <w:spacing w:line="480" w:lineRule="auto"/>
        <w:ind w:firstLine="720"/>
      </w:pPr>
      <w:r>
        <w:t>Of course, th</w:t>
      </w:r>
      <w:r w:rsidR="00A72348">
        <w:t>e</w:t>
      </w:r>
      <w:r>
        <w:t>s</w:t>
      </w:r>
      <w:r w:rsidR="00A72348">
        <w:t>e</w:t>
      </w:r>
      <w:r>
        <w:t xml:space="preserve"> </w:t>
      </w:r>
      <w:r w:rsidR="006E2928">
        <w:t>associations</w:t>
      </w:r>
      <w:r w:rsidR="00A72348">
        <w:t xml:space="preserve"> between financial resources and college attendance could be caused </w:t>
      </w:r>
      <w:r w:rsidR="00CA3203">
        <w:t xml:space="preserve">by </w:t>
      </w:r>
      <w:r w:rsidR="00A72348">
        <w:t xml:space="preserve">numerous underlying mechanisms, </w:t>
      </w:r>
      <w:r w:rsidR="00DF451B">
        <w:t>including</w:t>
      </w:r>
      <w:r w:rsidR="00A72348">
        <w:t xml:space="preserve"> </w:t>
      </w:r>
      <w:r w:rsidR="00F52955">
        <w:t>credit</w:t>
      </w:r>
      <w:r w:rsidR="00914784">
        <w:t xml:space="preserve"> constraints</w:t>
      </w:r>
      <w:r w:rsidR="00066C44">
        <w:t xml:space="preserve">, </w:t>
      </w:r>
      <w:r>
        <w:t xml:space="preserve">tastes (i.e., </w:t>
      </w:r>
      <w:r w:rsidR="009E5C2D">
        <w:t>the children of high earnings parents have a stronger taste for college</w:t>
      </w:r>
      <w:r>
        <w:t>)</w:t>
      </w:r>
      <w:r w:rsidR="00066C44">
        <w:t xml:space="preserve">, </w:t>
      </w:r>
      <w:r w:rsidR="00A72348">
        <w:t xml:space="preserve">ability (i.e., </w:t>
      </w:r>
      <w:r w:rsidR="009E5C2D">
        <w:t>the children of high earnings parents are better at academics</w:t>
      </w:r>
      <w:r w:rsidR="00CA3203">
        <w:t>)</w:t>
      </w:r>
      <w:r w:rsidR="00DF451B">
        <w:t xml:space="preserve">, </w:t>
      </w:r>
      <w:r w:rsidR="006B4CE1">
        <w:t xml:space="preserve">and reverse causality (i.e., parents earn or save more to pay for the expenses of children who </w:t>
      </w:r>
      <w:r w:rsidR="00815310">
        <w:t>wish to attend</w:t>
      </w:r>
      <w:r w:rsidR="006B4CE1">
        <w:t xml:space="preserve"> college), </w:t>
      </w:r>
      <w:r w:rsidR="00DF451B">
        <w:t>to name just a few</w:t>
      </w:r>
      <w:r w:rsidR="000F2D37">
        <w:t xml:space="preserve">. </w:t>
      </w:r>
      <w:r w:rsidR="00525FD1">
        <w:t xml:space="preserve"> </w:t>
      </w:r>
      <w:r w:rsidR="002040AA">
        <w:t>S</w:t>
      </w:r>
      <w:r w:rsidR="00E240AB">
        <w:t>everal studies</w:t>
      </w:r>
      <w:r w:rsidR="002040AA">
        <w:t xml:space="preserve"> using the NLSY have </w:t>
      </w:r>
      <w:r w:rsidR="00C06EF3">
        <w:t xml:space="preserve">found </w:t>
      </w:r>
      <w:r w:rsidR="00E240AB">
        <w:t xml:space="preserve">that </w:t>
      </w:r>
      <w:r w:rsidR="00F52955">
        <w:t>credit</w:t>
      </w:r>
      <w:r w:rsidR="00BA3AC0">
        <w:t xml:space="preserve"> constraints affect relatively few families</w:t>
      </w:r>
      <w:r w:rsidR="000F2D37">
        <w:t>.</w:t>
      </w:r>
      <w:r w:rsidR="00B33CE7">
        <w:rPr>
          <w:rStyle w:val="FootnoteReference"/>
        </w:rPr>
        <w:footnoteReference w:id="4"/>
      </w:r>
      <w:r w:rsidR="00F32F8C">
        <w:t xml:space="preserve">  </w:t>
      </w:r>
      <w:r w:rsidR="00525FD1">
        <w:t xml:space="preserve">Similarly, </w:t>
      </w:r>
      <w:proofErr w:type="spellStart"/>
      <w:r w:rsidR="00F32F8C">
        <w:t>Stinebrickner</w:t>
      </w:r>
      <w:proofErr w:type="spellEnd"/>
      <w:r w:rsidR="00F32F8C">
        <w:t xml:space="preserve"> and </w:t>
      </w:r>
      <w:proofErr w:type="spellStart"/>
      <w:r w:rsidR="00F32F8C">
        <w:t>Stinebrickner</w:t>
      </w:r>
      <w:proofErr w:type="spellEnd"/>
      <w:r w:rsidR="00F32F8C">
        <w:t xml:space="preserve"> </w:t>
      </w:r>
      <w:r w:rsidR="00A15ABC">
        <w:t>(</w:t>
      </w:r>
      <w:r w:rsidR="00F32F8C">
        <w:t>2008)</w:t>
      </w:r>
      <w:r w:rsidR="009502C4">
        <w:t xml:space="preserve">, </w:t>
      </w:r>
      <w:r w:rsidR="00525FD1">
        <w:t xml:space="preserve">using </w:t>
      </w:r>
      <w:proofErr w:type="gramStart"/>
      <w:r w:rsidR="009502C4">
        <w:t>a</w:t>
      </w:r>
      <w:proofErr w:type="gramEnd"/>
      <w:r w:rsidR="009502C4">
        <w:t xml:space="preserve"> un</w:t>
      </w:r>
      <w:r w:rsidR="000869C2">
        <w:t>usual</w:t>
      </w:r>
      <w:r w:rsidR="009502C4">
        <w:t xml:space="preserve"> institutional setting </w:t>
      </w:r>
      <w:r w:rsidR="000869C2">
        <w:t xml:space="preserve">in which </w:t>
      </w:r>
      <w:r w:rsidR="000869C2">
        <w:lastRenderedPageBreak/>
        <w:t>high education is nearly free</w:t>
      </w:r>
      <w:r w:rsidR="009502C4">
        <w:t xml:space="preserve">, find that many students who drop out </w:t>
      </w:r>
      <w:r w:rsidR="000869C2">
        <w:t xml:space="preserve">of school </w:t>
      </w:r>
      <w:r w:rsidR="009502C4">
        <w:t xml:space="preserve">would continue to do so even if </w:t>
      </w:r>
      <w:r w:rsidR="00F52955">
        <w:t>credit</w:t>
      </w:r>
      <w:r w:rsidR="009502C4">
        <w:t xml:space="preserve"> constrain</w:t>
      </w:r>
      <w:r w:rsidR="00657BC2">
        <w:t>t</w:t>
      </w:r>
      <w:r w:rsidR="009502C4">
        <w:t>s were alleviated.</w:t>
      </w:r>
      <w:r w:rsidR="00615A67">
        <w:rPr>
          <w:rStyle w:val="FootnoteReference"/>
        </w:rPr>
        <w:footnoteReference w:id="5"/>
      </w:r>
      <w:r w:rsidR="009502C4">
        <w:t xml:space="preserve">  </w:t>
      </w:r>
      <w:r w:rsidR="00525FD1">
        <w:t xml:space="preserve">In contrast, </w:t>
      </w:r>
      <w:r w:rsidR="00F32F8C">
        <w:t xml:space="preserve">Brown, </w:t>
      </w:r>
      <w:proofErr w:type="spellStart"/>
      <w:r w:rsidR="00F32F8C">
        <w:t>Scholz</w:t>
      </w:r>
      <w:proofErr w:type="spellEnd"/>
      <w:r w:rsidR="00F32F8C">
        <w:t xml:space="preserve">, and </w:t>
      </w:r>
      <w:proofErr w:type="spellStart"/>
      <w:r w:rsidR="00F32F8C">
        <w:t>Seshadri</w:t>
      </w:r>
      <w:proofErr w:type="spellEnd"/>
      <w:r w:rsidR="00F32F8C">
        <w:t xml:space="preserve"> </w:t>
      </w:r>
      <w:r w:rsidR="00A15ABC">
        <w:t>(</w:t>
      </w:r>
      <w:r w:rsidR="00F32F8C">
        <w:t>2012)</w:t>
      </w:r>
      <w:r w:rsidR="009502C4">
        <w:t xml:space="preserve">, relying on </w:t>
      </w:r>
      <w:r w:rsidR="001051CC">
        <w:t xml:space="preserve">an </w:t>
      </w:r>
      <w:r w:rsidR="009502C4">
        <w:t xml:space="preserve">identification strategy that </w:t>
      </w:r>
      <w:r w:rsidR="00205C1D">
        <w:t>involves</w:t>
      </w:r>
      <w:r w:rsidR="009502C4">
        <w:t xml:space="preserve"> later parental t</w:t>
      </w:r>
      <w:r w:rsidR="00A15ABC">
        <w:t>ransfer</w:t>
      </w:r>
      <w:r w:rsidR="009502C4">
        <w:t xml:space="preserve"> behavior, finds a somewhat larger role for </w:t>
      </w:r>
      <w:r w:rsidR="00F52955">
        <w:t>credit</w:t>
      </w:r>
      <w:r w:rsidR="009502C4">
        <w:t xml:space="preserve"> constraints.</w:t>
      </w:r>
      <w:r w:rsidR="00F32F8C">
        <w:t xml:space="preserve"> </w:t>
      </w:r>
      <w:r w:rsidR="003104DC">
        <w:t xml:space="preserve">Two studies </w:t>
      </w:r>
      <w:r w:rsidR="00525FD1">
        <w:t xml:space="preserve">that </w:t>
      </w:r>
      <w:r w:rsidR="0099709E">
        <w:t xml:space="preserve">have </w:t>
      </w:r>
      <w:r w:rsidR="00525FD1">
        <w:t>attempted to exploit</w:t>
      </w:r>
      <w:r w:rsidR="003104DC">
        <w:t xml:space="preserve"> idiosyncratic variation in housing values to identify the causal effect of </w:t>
      </w:r>
      <w:r w:rsidR="00DC0817">
        <w:t>wealth</w:t>
      </w:r>
      <w:r w:rsidR="003104DC">
        <w:t xml:space="preserve"> changes on college attendance</w:t>
      </w:r>
      <w:r w:rsidR="0099709E">
        <w:t xml:space="preserve">, find that increases in housing wealth positively affect </w:t>
      </w:r>
      <w:r w:rsidR="0050675C">
        <w:t xml:space="preserve">college </w:t>
      </w:r>
      <w:r w:rsidR="0099709E">
        <w:t>outcomes (</w:t>
      </w:r>
      <w:proofErr w:type="spellStart"/>
      <w:r w:rsidR="0050675C" w:rsidRPr="00247107">
        <w:t>Lovenheim</w:t>
      </w:r>
      <w:proofErr w:type="spellEnd"/>
      <w:r w:rsidR="0050675C" w:rsidRPr="00247107">
        <w:t xml:space="preserve"> 2011</w:t>
      </w:r>
      <w:r w:rsidR="0099709E">
        <w:t xml:space="preserve">, </w:t>
      </w:r>
      <w:proofErr w:type="spellStart"/>
      <w:r w:rsidR="0099709E">
        <w:t>Lovenheim</w:t>
      </w:r>
      <w:proofErr w:type="spellEnd"/>
      <w:r w:rsidR="0099709E">
        <w:t xml:space="preserve"> and Reynolds 2013</w:t>
      </w:r>
      <w:r w:rsidR="0050675C" w:rsidRPr="00247107">
        <w:t>)</w:t>
      </w:r>
      <w:r w:rsidR="0050675C">
        <w:t xml:space="preserve">.    </w:t>
      </w:r>
    </w:p>
    <w:p w:rsidR="00D35C02" w:rsidRDefault="00A15ABC" w:rsidP="00F36C80">
      <w:pPr>
        <w:spacing w:line="480" w:lineRule="auto"/>
        <w:ind w:firstLine="720"/>
      </w:pPr>
      <w:r>
        <w:t>Our</w:t>
      </w:r>
      <w:r w:rsidR="00F00CFD">
        <w:t xml:space="preserve"> work </w:t>
      </w:r>
      <w:r>
        <w:t>contribut</w:t>
      </w:r>
      <w:r w:rsidR="00CC5009">
        <w:t>es</w:t>
      </w:r>
      <w:r>
        <w:t xml:space="preserve"> to the literature</w:t>
      </w:r>
      <w:r w:rsidR="00F00CFD">
        <w:t xml:space="preserve"> in </w:t>
      </w:r>
      <w:r w:rsidR="00B313DF">
        <w:t>several</w:t>
      </w:r>
      <w:r w:rsidR="00F00CFD">
        <w:t xml:space="preserve"> important dimensions</w:t>
      </w:r>
      <w:r w:rsidR="009F6F21">
        <w:t>.  First,</w:t>
      </w:r>
      <w:r>
        <w:t xml:space="preserve"> </w:t>
      </w:r>
      <w:r w:rsidR="00CC5009">
        <w:t xml:space="preserve">as noted by </w:t>
      </w:r>
      <w:proofErr w:type="spellStart"/>
      <w:r w:rsidR="00CC5009">
        <w:t>Lovenheim</w:t>
      </w:r>
      <w:proofErr w:type="spellEnd"/>
      <w:r w:rsidR="00CC5009">
        <w:t xml:space="preserve"> (2011), “…previous literature has almost exclusively focused on family income”</w:t>
      </w:r>
      <w:r w:rsidR="000869C2">
        <w:t>.</w:t>
      </w:r>
      <w:r w:rsidR="00CC5009">
        <w:t xml:space="preserve">   With our data, we are able to examine </w:t>
      </w:r>
      <w:r w:rsidR="00B313DF">
        <w:t xml:space="preserve">the relationship between schooling and both </w:t>
      </w:r>
      <w:r w:rsidR="00EE428E">
        <w:t>parental income and wealth</w:t>
      </w:r>
      <w:r w:rsidR="000869C2">
        <w:t xml:space="preserve"> using high quality measures of each</w:t>
      </w:r>
      <w:r w:rsidR="00CC5009">
        <w:t xml:space="preserve">. </w:t>
      </w:r>
      <w:r w:rsidR="00B313DF">
        <w:t>Furthermore, the financial measures in both</w:t>
      </w:r>
      <w:r w:rsidR="00A52C41">
        <w:t xml:space="preserve"> </w:t>
      </w:r>
      <w:r w:rsidR="009F6F21">
        <w:t xml:space="preserve">the PSID and the HRS </w:t>
      </w:r>
      <w:r w:rsidR="00B313DF">
        <w:t xml:space="preserve">are of very </w:t>
      </w:r>
      <w:r w:rsidR="001077B4">
        <w:t>high quality</w:t>
      </w:r>
      <w:r w:rsidR="008239FC">
        <w:t xml:space="preserve"> (</w:t>
      </w:r>
      <w:r w:rsidR="004748B0">
        <w:t xml:space="preserve">e.g., </w:t>
      </w:r>
      <w:r w:rsidR="008239FC">
        <w:t>Smith 1995</w:t>
      </w:r>
      <w:r w:rsidR="004748B0">
        <w:t>;</w:t>
      </w:r>
      <w:r w:rsidR="008A12A6">
        <w:t xml:space="preserve"> Brown, Duncan, and Stafford 1996</w:t>
      </w:r>
      <w:r w:rsidR="004748B0">
        <w:t>;</w:t>
      </w:r>
      <w:r w:rsidR="008A12A6">
        <w:t xml:space="preserve"> </w:t>
      </w:r>
      <w:proofErr w:type="spellStart"/>
      <w:r w:rsidR="00FC54CB">
        <w:t>Juster</w:t>
      </w:r>
      <w:proofErr w:type="spellEnd"/>
      <w:r w:rsidR="00FC54CB">
        <w:t>, Smith, and Stafford 1999</w:t>
      </w:r>
      <w:r w:rsidR="003A61BF">
        <w:t xml:space="preserve">. </w:t>
      </w:r>
      <w:r w:rsidR="00CC5009">
        <w:t xml:space="preserve">Finally, </w:t>
      </w:r>
      <w:r w:rsidR="00624A0C">
        <w:t>for</w:t>
      </w:r>
      <w:r w:rsidR="003B2972">
        <w:t xml:space="preserve"> a subset of</w:t>
      </w:r>
      <w:r>
        <w:t xml:space="preserve"> our PSID </w:t>
      </w:r>
      <w:r w:rsidR="003B2972">
        <w:t>young adults</w:t>
      </w:r>
      <w:r w:rsidR="00624A0C">
        <w:t xml:space="preserve">, we have detailed information about </w:t>
      </w:r>
      <w:r w:rsidR="00F13264">
        <w:t>h</w:t>
      </w:r>
      <w:r w:rsidR="000C1623">
        <w:t>igh school GPA</w:t>
      </w:r>
      <w:r w:rsidR="00F943F5">
        <w:t>, allowing use to examine how the role of financial resources vary with student achievement</w:t>
      </w:r>
      <w:r>
        <w:t xml:space="preserve">.  </w:t>
      </w:r>
    </w:p>
    <w:p w:rsidR="000615CF" w:rsidRDefault="000615CF" w:rsidP="00ED18BE">
      <w:pPr>
        <w:spacing w:line="360" w:lineRule="auto"/>
      </w:pPr>
    </w:p>
    <w:p w:rsidR="00E31A92" w:rsidRPr="004E07ED" w:rsidRDefault="00E31A92" w:rsidP="00E31A92">
      <w:pPr>
        <w:spacing w:line="360" w:lineRule="auto"/>
      </w:pPr>
      <w:r w:rsidRPr="004E07ED">
        <w:rPr>
          <w:b/>
        </w:rPr>
        <w:t xml:space="preserve">3. </w:t>
      </w:r>
      <w:r w:rsidR="004E07ED">
        <w:rPr>
          <w:b/>
        </w:rPr>
        <w:t>The Data</w:t>
      </w:r>
    </w:p>
    <w:p w:rsidR="009E64F2" w:rsidRDefault="001F2592" w:rsidP="001F2592">
      <w:pPr>
        <w:spacing w:line="480" w:lineRule="auto"/>
      </w:pPr>
      <w:r>
        <w:t xml:space="preserve">In this section, we briefly discuss the main features of the </w:t>
      </w:r>
      <w:r w:rsidR="00A15ABC">
        <w:t>PSID</w:t>
      </w:r>
      <w:r w:rsidR="001976B0">
        <w:t xml:space="preserve">, </w:t>
      </w:r>
      <w:r w:rsidR="00B313DF">
        <w:t xml:space="preserve">our primary data source for this analysis. </w:t>
      </w:r>
      <w:r w:rsidR="00522A97">
        <w:t>We focus on the PSID because</w:t>
      </w:r>
      <w:r w:rsidR="001B75F3">
        <w:t xml:space="preserve"> it</w:t>
      </w:r>
      <w:r w:rsidR="00A15ABC">
        <w:t xml:space="preserve"> provides </w:t>
      </w:r>
      <w:r w:rsidR="000869C2">
        <w:t xml:space="preserve">a </w:t>
      </w:r>
      <w:r w:rsidR="00522A97">
        <w:t xml:space="preserve">representative </w:t>
      </w:r>
      <w:r w:rsidR="00A15ABC">
        <w:t>sample of parent</w:t>
      </w:r>
      <w:r w:rsidR="009E64F2">
        <w:t>-child pair</w:t>
      </w:r>
      <w:r w:rsidR="00A15ABC">
        <w:t>s</w:t>
      </w:r>
      <w:r w:rsidR="00B313DF">
        <w:t xml:space="preserve"> for children who are making the college-attendance decision</w:t>
      </w:r>
      <w:r w:rsidR="00A15ABC">
        <w:t xml:space="preserve"> </w:t>
      </w:r>
      <w:r w:rsidR="00704A08">
        <w:t>and</w:t>
      </w:r>
      <w:r w:rsidR="00A15ABC">
        <w:t xml:space="preserve"> </w:t>
      </w:r>
      <w:r w:rsidR="00C60A84" w:rsidRPr="009E0B19">
        <w:t xml:space="preserve">contains rich additional information </w:t>
      </w:r>
      <w:r w:rsidR="009E64F2">
        <w:t>f</w:t>
      </w:r>
      <w:r w:rsidR="00C60A84" w:rsidRPr="009E0B19">
        <w:t>o</w:t>
      </w:r>
      <w:r w:rsidR="009E64F2">
        <w:t>r</w:t>
      </w:r>
      <w:r w:rsidR="0029481F">
        <w:t xml:space="preserve"> </w:t>
      </w:r>
      <w:r w:rsidR="000869C2">
        <w:t xml:space="preserve">both parents and </w:t>
      </w:r>
      <w:r w:rsidR="0029481F">
        <w:t>a subsample of its young adults</w:t>
      </w:r>
      <w:r w:rsidR="00A15ABC">
        <w:t xml:space="preserve">. </w:t>
      </w:r>
      <w:r w:rsidR="00C60A84" w:rsidRPr="009E0B19">
        <w:t xml:space="preserve"> </w:t>
      </w:r>
      <w:r w:rsidR="00B313DF">
        <w:t xml:space="preserve">We supplement these analyses with some similar descriptive work using the Health and Retirement Study (HRS). </w:t>
      </w:r>
      <w:r w:rsidR="00D919B9">
        <w:t>Although</w:t>
      </w:r>
      <w:r w:rsidR="009E34EC">
        <w:t xml:space="preserve"> </w:t>
      </w:r>
      <w:r w:rsidR="00B313DF">
        <w:t xml:space="preserve">the </w:t>
      </w:r>
      <w:r w:rsidR="00B313DF">
        <w:lastRenderedPageBreak/>
        <w:t>HRS is a sample of individuals 50 and over</w:t>
      </w:r>
      <w:r w:rsidR="00CA5D26">
        <w:t>, and thus provides a selected sample of children finishing high school (i.e.</w:t>
      </w:r>
      <w:r w:rsidR="001743B2">
        <w:t>,</w:t>
      </w:r>
      <w:r w:rsidR="00CA5D26">
        <w:t xml:space="preserve"> children with parents who were somewhat older than average at the</w:t>
      </w:r>
      <w:r w:rsidR="000869C2">
        <w:t xml:space="preserve"> child’s</w:t>
      </w:r>
      <w:r w:rsidR="00CA5D26">
        <w:t xml:space="preserve"> birth), it</w:t>
      </w:r>
      <w:r w:rsidR="009E64F2">
        <w:t xml:space="preserve"> </w:t>
      </w:r>
      <w:r w:rsidR="00D919B9">
        <w:t xml:space="preserve">also contains very high quality income and </w:t>
      </w:r>
      <w:r w:rsidR="00DC0817">
        <w:t>wealth</w:t>
      </w:r>
      <w:r w:rsidR="001743B2">
        <w:t xml:space="preserve"> data</w:t>
      </w:r>
      <w:r w:rsidR="00D919B9">
        <w:t xml:space="preserve"> and includes </w:t>
      </w:r>
      <w:r w:rsidR="0029481F">
        <w:t>recent immigrants</w:t>
      </w:r>
      <w:r w:rsidR="001743B2">
        <w:t xml:space="preserve"> in its sampling frame</w:t>
      </w:r>
      <w:r w:rsidR="000869C2">
        <w:t>, along with an oversampl</w:t>
      </w:r>
      <w:r w:rsidR="00C43AA9">
        <w:t>e</w:t>
      </w:r>
      <w:r w:rsidR="000869C2">
        <w:t xml:space="preserve"> of individuals in heavily black and Hispanic areas</w:t>
      </w:r>
      <w:r w:rsidR="009E64F2">
        <w:t xml:space="preserve">. </w:t>
      </w:r>
    </w:p>
    <w:p w:rsidR="00107456" w:rsidRDefault="00107456" w:rsidP="004E07ED">
      <w:pPr>
        <w:spacing w:line="360" w:lineRule="auto"/>
        <w:rPr>
          <w:b/>
        </w:rPr>
      </w:pPr>
    </w:p>
    <w:p w:rsidR="004E07ED" w:rsidRPr="004E07ED" w:rsidRDefault="004E07ED" w:rsidP="004E07ED">
      <w:pPr>
        <w:spacing w:line="360" w:lineRule="auto"/>
      </w:pPr>
      <w:r w:rsidRPr="004E07ED">
        <w:rPr>
          <w:b/>
        </w:rPr>
        <w:t>3.</w:t>
      </w:r>
      <w:r>
        <w:rPr>
          <w:b/>
        </w:rPr>
        <w:t>1.</w:t>
      </w:r>
      <w:r w:rsidRPr="004E07ED">
        <w:rPr>
          <w:b/>
        </w:rPr>
        <w:t xml:space="preserve"> </w:t>
      </w:r>
      <w:r>
        <w:rPr>
          <w:b/>
        </w:rPr>
        <w:t>The Panel Study of Income Dynamics</w:t>
      </w:r>
      <w:r w:rsidR="003B2B63">
        <w:rPr>
          <w:b/>
        </w:rPr>
        <w:t xml:space="preserve"> (PSID)</w:t>
      </w:r>
    </w:p>
    <w:p w:rsidR="009E64F2" w:rsidRDefault="001416C5" w:rsidP="004013CE">
      <w:pPr>
        <w:spacing w:line="480" w:lineRule="auto"/>
      </w:pPr>
      <w:r>
        <w:t xml:space="preserve">The PSID </w:t>
      </w:r>
      <w:r w:rsidR="006B173B">
        <w:t>is a longitudinal study that began in 1968 with approximately 5,000 families.  It has since followed these families and</w:t>
      </w:r>
      <w:r w:rsidR="00E47D74">
        <w:t xml:space="preserve"> their</w:t>
      </w:r>
      <w:r w:rsidR="006B173B">
        <w:t xml:space="preserve"> </w:t>
      </w:r>
      <w:r w:rsidR="007E2FF9">
        <w:t xml:space="preserve">direct </w:t>
      </w:r>
      <w:r w:rsidR="006B173B">
        <w:t>descend</w:t>
      </w:r>
      <w:r w:rsidR="00BC3FFE">
        <w:t>a</w:t>
      </w:r>
      <w:r w:rsidR="006B173B">
        <w:t>nts</w:t>
      </w:r>
      <w:r w:rsidR="00E47D74">
        <w:t xml:space="preserve">, interviewing </w:t>
      </w:r>
      <w:r w:rsidR="00CC5009">
        <w:t>them</w:t>
      </w:r>
      <w:r w:rsidR="00E47D74">
        <w:t xml:space="preserve"> </w:t>
      </w:r>
      <w:r w:rsidR="00E7556C">
        <w:t xml:space="preserve">annually </w:t>
      </w:r>
      <w:r w:rsidR="006B173B">
        <w:t>from</w:t>
      </w:r>
      <w:r w:rsidR="00E7556C">
        <w:t xml:space="preserve"> 1968 </w:t>
      </w:r>
      <w:r w:rsidR="006B173B">
        <w:t xml:space="preserve">through </w:t>
      </w:r>
      <w:r w:rsidR="00E7556C">
        <w:t xml:space="preserve">1997 and biennially </w:t>
      </w:r>
      <w:r w:rsidR="000869C2">
        <w:t>thereafter</w:t>
      </w:r>
      <w:r w:rsidR="00596389">
        <w:t xml:space="preserve">.  </w:t>
      </w:r>
      <w:r w:rsidR="00BC3FFE">
        <w:t>In each wave</w:t>
      </w:r>
      <w:r w:rsidR="004F649A">
        <w:t>,</w:t>
      </w:r>
      <w:r w:rsidR="00BC3FFE">
        <w:t xml:space="preserve"> t</w:t>
      </w:r>
      <w:r w:rsidR="00E7556C">
        <w:t xml:space="preserve">he </w:t>
      </w:r>
      <w:r w:rsidR="00692417">
        <w:t xml:space="preserve">core </w:t>
      </w:r>
      <w:r w:rsidR="00CC5009">
        <w:t xml:space="preserve">PSID </w:t>
      </w:r>
      <w:r w:rsidR="00E7556C">
        <w:t xml:space="preserve">survey </w:t>
      </w:r>
      <w:r w:rsidR="001F2592">
        <w:t>collect</w:t>
      </w:r>
      <w:r w:rsidR="004F649A">
        <w:t>s</w:t>
      </w:r>
      <w:r w:rsidR="00E7556C">
        <w:t xml:space="preserve"> information on income, household structure, and the labor supply of the head and wife. </w:t>
      </w:r>
      <w:r>
        <w:t xml:space="preserve"> </w:t>
      </w:r>
      <w:r w:rsidR="008F0483">
        <w:t>D</w:t>
      </w:r>
      <w:r w:rsidR="00E7556C">
        <w:t>etailed information</w:t>
      </w:r>
      <w:r w:rsidR="003B21AE">
        <w:t xml:space="preserve"> on </w:t>
      </w:r>
      <w:r w:rsidR="005958D7">
        <w:t>wealth</w:t>
      </w:r>
      <w:r w:rsidR="00E7556C">
        <w:t xml:space="preserve"> </w:t>
      </w:r>
      <w:r w:rsidR="008F0483">
        <w:t xml:space="preserve">was collected </w:t>
      </w:r>
      <w:r w:rsidR="00E7556C">
        <w:t xml:space="preserve">in 1984, 1989, 1994, and </w:t>
      </w:r>
      <w:r w:rsidR="00C01767">
        <w:t xml:space="preserve">in each survey </w:t>
      </w:r>
      <w:r w:rsidR="00BC3FFE">
        <w:t>beginning</w:t>
      </w:r>
      <w:r w:rsidR="00E23B40">
        <w:t xml:space="preserve"> in 1999</w:t>
      </w:r>
      <w:r w:rsidR="00E7556C">
        <w:t xml:space="preserve">.  </w:t>
      </w:r>
    </w:p>
    <w:p w:rsidR="00A75603" w:rsidRDefault="00ED0C7B">
      <w:pPr>
        <w:spacing w:line="480" w:lineRule="auto"/>
        <w:ind w:firstLine="720"/>
      </w:pPr>
      <w:r>
        <w:t>Using the core</w:t>
      </w:r>
      <w:r w:rsidR="009E64F2">
        <w:t xml:space="preserve"> </w:t>
      </w:r>
      <w:r w:rsidR="00180566">
        <w:t>survey</w:t>
      </w:r>
      <w:r w:rsidR="00CB51D1">
        <w:t>s</w:t>
      </w:r>
      <w:r>
        <w:t xml:space="preserve">, </w:t>
      </w:r>
      <w:r w:rsidR="00422D4A">
        <w:t xml:space="preserve">we </w:t>
      </w:r>
      <w:r w:rsidR="00113A9C">
        <w:t xml:space="preserve">select </w:t>
      </w:r>
      <w:r w:rsidR="006E0E70">
        <w:t xml:space="preserve">all </w:t>
      </w:r>
      <w:r w:rsidR="00422D4A">
        <w:t>19- and 20-year olds in</w:t>
      </w:r>
      <w:r w:rsidR="00705143">
        <w:t xml:space="preserve"> </w:t>
      </w:r>
      <w:r w:rsidR="006E0E70">
        <w:t xml:space="preserve">the </w:t>
      </w:r>
      <w:r w:rsidR="004F649A">
        <w:t xml:space="preserve">years </w:t>
      </w:r>
      <w:r w:rsidR="003B21AE">
        <w:t>in which</w:t>
      </w:r>
      <w:r w:rsidR="004F649A">
        <w:t xml:space="preserve"> </w:t>
      </w:r>
      <w:r w:rsidR="0000414D">
        <w:t>wealth</w:t>
      </w:r>
      <w:r w:rsidR="004F649A">
        <w:t xml:space="preserve"> was</w:t>
      </w:r>
      <w:r w:rsidR="000869C2">
        <w:t xml:space="preserve"> </w:t>
      </w:r>
      <w:r w:rsidR="009D3AD0">
        <w:t>collected</w:t>
      </w:r>
      <w:r w:rsidR="007E2700">
        <w:t xml:space="preserve"> (</w:t>
      </w:r>
      <w:r w:rsidR="00422D4A">
        <w:t xml:space="preserve">1984, 1989, 1994, and </w:t>
      </w:r>
      <w:r w:rsidR="00DC4E01">
        <w:t xml:space="preserve">biennially </w:t>
      </w:r>
      <w:r w:rsidR="003F4DB1">
        <w:t>starting in</w:t>
      </w:r>
      <w:r w:rsidR="00DC4E01">
        <w:t xml:space="preserve"> 1999</w:t>
      </w:r>
      <w:r w:rsidR="003F73E9">
        <w:t>)</w:t>
      </w:r>
      <w:r w:rsidR="00DC4E01">
        <w:t xml:space="preserve"> through </w:t>
      </w:r>
      <w:r w:rsidR="003F73E9">
        <w:t xml:space="preserve">the </w:t>
      </w:r>
      <w:r w:rsidR="00DC4E01">
        <w:t>2009</w:t>
      </w:r>
      <w:r w:rsidR="003F73E9">
        <w:t xml:space="preserve"> wave</w:t>
      </w:r>
      <w:r w:rsidR="00422D4A">
        <w:t>.</w:t>
      </w:r>
      <w:r w:rsidR="00C918C1" w:rsidRPr="0008718D">
        <w:rPr>
          <w:vertAlign w:val="superscript"/>
        </w:rPr>
        <w:footnoteReference w:id="6"/>
      </w:r>
      <w:r w:rsidR="00422D4A">
        <w:t xml:space="preserve">  </w:t>
      </w:r>
      <w:r w:rsidR="000234E4">
        <w:t xml:space="preserve">For each of these 19- and 20-year olds, we </w:t>
      </w:r>
      <w:r w:rsidR="007E2700">
        <w:t xml:space="preserve">construct </w:t>
      </w:r>
      <w:r w:rsidR="00CB51D1">
        <w:t xml:space="preserve">a set of </w:t>
      </w:r>
      <w:r w:rsidR="00833E03">
        <w:t xml:space="preserve">contemporaneous </w:t>
      </w:r>
      <w:r w:rsidR="00CB51D1">
        <w:t>family characteristics</w:t>
      </w:r>
      <w:r w:rsidR="003E1950">
        <w:t xml:space="preserve"> </w:t>
      </w:r>
      <w:r w:rsidR="004F649A">
        <w:t xml:space="preserve">that includes </w:t>
      </w:r>
      <w:r w:rsidR="007E2700">
        <w:t>parent</w:t>
      </w:r>
      <w:r w:rsidR="003E1950">
        <w:t>al</w:t>
      </w:r>
      <w:r w:rsidR="007E2700">
        <w:t xml:space="preserve"> income and </w:t>
      </w:r>
      <w:r w:rsidR="00DC0817">
        <w:t>wealth</w:t>
      </w:r>
      <w:r w:rsidR="007E2700">
        <w:t xml:space="preserve"> information and the parental report of </w:t>
      </w:r>
      <w:r w:rsidR="000234E4">
        <w:t xml:space="preserve">the </w:t>
      </w:r>
      <w:r w:rsidR="0040630C">
        <w:t>young adult</w:t>
      </w:r>
      <w:r w:rsidR="000234E4">
        <w:t>’s educational attainment.</w:t>
      </w:r>
      <w:r w:rsidR="000234E4">
        <w:rPr>
          <w:rStyle w:val="FootnoteReference"/>
        </w:rPr>
        <w:footnoteReference w:id="7"/>
      </w:r>
      <w:r w:rsidR="000234E4">
        <w:t xml:space="preserve">   </w:t>
      </w:r>
      <w:r w:rsidR="002A77CE">
        <w:t>This process</w:t>
      </w:r>
      <w:r w:rsidR="003E1950">
        <w:t xml:space="preserve"> yields</w:t>
      </w:r>
      <w:r w:rsidR="002A77CE">
        <w:t xml:space="preserve"> </w:t>
      </w:r>
      <w:r w:rsidR="00FA7378">
        <w:t xml:space="preserve">3,953 </w:t>
      </w:r>
      <w:r w:rsidR="00FF06CA">
        <w:t xml:space="preserve">young adults in the </w:t>
      </w:r>
      <w:r w:rsidR="002A77CE">
        <w:t xml:space="preserve">target </w:t>
      </w:r>
      <w:r w:rsidR="00FD1616">
        <w:t>age range</w:t>
      </w:r>
      <w:r w:rsidR="00293B3C">
        <w:t>, of wh</w:t>
      </w:r>
      <w:r w:rsidR="00BD6EA6">
        <w:t>om</w:t>
      </w:r>
      <w:r w:rsidR="00300B3C">
        <w:t xml:space="preserve"> </w:t>
      </w:r>
      <w:r w:rsidR="00CF2452">
        <w:t>3,</w:t>
      </w:r>
      <w:r w:rsidR="00982C70">
        <w:t>677</w:t>
      </w:r>
      <w:r w:rsidR="00CF2452">
        <w:t xml:space="preserve"> </w:t>
      </w:r>
      <w:r w:rsidR="00FD1616">
        <w:t>can</w:t>
      </w:r>
      <w:r w:rsidR="002A77CE">
        <w:t xml:space="preserve"> be matched to a parent </w:t>
      </w:r>
      <w:r w:rsidR="003E1950">
        <w:t>who</w:t>
      </w:r>
      <w:r w:rsidR="002A77CE">
        <w:t xml:space="preserve"> provided </w:t>
      </w:r>
      <w:r w:rsidR="00FF06CA">
        <w:t>the requi</w:t>
      </w:r>
      <w:r w:rsidR="003E1950">
        <w:t>red</w:t>
      </w:r>
      <w:r w:rsidR="00FF06CA">
        <w:t xml:space="preserve"> </w:t>
      </w:r>
      <w:r w:rsidR="007F6712">
        <w:t>household information</w:t>
      </w:r>
      <w:r w:rsidR="006562C9">
        <w:t xml:space="preserve">. </w:t>
      </w:r>
      <w:r w:rsidR="00C918C1">
        <w:t xml:space="preserve"> </w:t>
      </w:r>
      <w:r w:rsidR="0061401D">
        <w:t>We refer to these 3,677 young adults as our “Full Sample.”</w:t>
      </w:r>
    </w:p>
    <w:p w:rsidR="00C7661A" w:rsidRDefault="0060078E" w:rsidP="00865D23">
      <w:pPr>
        <w:spacing w:line="480" w:lineRule="auto"/>
        <w:ind w:firstLine="720"/>
      </w:pPr>
      <w:r>
        <w:lastRenderedPageBreak/>
        <w:t>In 1997 and then again in 2002 and 2007, the PSID undertook a supplemental data collection effort for a subsample of the children referred to as the Child Development Supplement (CDS).  This supplement included children ages 0 to 12 in 1997</w:t>
      </w:r>
      <w:r w:rsidR="008E6A08">
        <w:t xml:space="preserve"> and</w:t>
      </w:r>
      <w:r>
        <w:t xml:space="preserve"> collected </w:t>
      </w:r>
      <w:r w:rsidR="00A012BE">
        <w:t xml:space="preserve">detailed </w:t>
      </w:r>
      <w:r>
        <w:t>information about their education and home environment.  When the children in the CDS reached the age of 18 and stopped attending high school, the PSID began a new supplement called the Transition into Adulthood (TA) to follow these children as they left their family home</w:t>
      </w:r>
      <w:r w:rsidR="009066C9">
        <w:t>s</w:t>
      </w:r>
      <w:r>
        <w:t xml:space="preserve"> </w:t>
      </w:r>
      <w:r w:rsidR="007D6E87">
        <w:t>and formed their own famil</w:t>
      </w:r>
      <w:r w:rsidR="009066C9">
        <w:t>ies</w:t>
      </w:r>
      <w:r w:rsidR="007D6E87">
        <w:t xml:space="preserve"> (which would then be followed given the PSID core sampling scheme).</w:t>
      </w:r>
      <w:r>
        <w:t xml:space="preserve">  The TA supplement</w:t>
      </w:r>
      <w:r w:rsidR="002B2C9A">
        <w:t xml:space="preserve"> was administered biennially starting in 2005 and collects detailed information</w:t>
      </w:r>
      <w:r>
        <w:t xml:space="preserve"> about </w:t>
      </w:r>
      <w:r w:rsidR="002B2C9A">
        <w:t xml:space="preserve">high school performance (including GPA), </w:t>
      </w:r>
      <w:r>
        <w:t xml:space="preserve">college attendance and post-high school training, family formation issues, employment, and attitudes about a variety of social, personal, and career issues. </w:t>
      </w:r>
      <w:r w:rsidR="00940482">
        <w:t xml:space="preserve"> </w:t>
      </w:r>
    </w:p>
    <w:p w:rsidR="001A783C" w:rsidRDefault="008428B5" w:rsidP="00865D23">
      <w:pPr>
        <w:spacing w:line="480" w:lineRule="auto"/>
        <w:ind w:firstLine="720"/>
      </w:pPr>
      <w:r>
        <w:t xml:space="preserve">Using the TA supplement data, we select a sample of all young adults that graduate from high school and self-report their GPA and merge these data with the core survey data on parental resources. </w:t>
      </w:r>
      <w:r w:rsidR="000869C2">
        <w:t>We are limited to high school graduates because</w:t>
      </w:r>
      <w:r w:rsidR="009D3AD0">
        <w:t>,</w:t>
      </w:r>
      <w:r w:rsidR="000869C2">
        <w:t xml:space="preserve"> for the analysis using this subsample, we </w:t>
      </w:r>
      <w:r w:rsidR="009D3AD0">
        <w:t>examine</w:t>
      </w:r>
      <w:r w:rsidR="000869C2">
        <w:t xml:space="preserve"> the relationship between GPA and college attendance and GPA is available only for graduates.</w:t>
      </w:r>
      <w:r w:rsidR="009D3AD0">
        <w:rPr>
          <w:rStyle w:val="FootnoteReference"/>
        </w:rPr>
        <w:footnoteReference w:id="8"/>
      </w:r>
      <w:r>
        <w:t xml:space="preserve"> </w:t>
      </w:r>
      <w:r w:rsidR="00DA7A50">
        <w:t xml:space="preserve">These restrictions leave us with </w:t>
      </w:r>
      <w:r w:rsidR="00B92D93">
        <w:t>646 young adults</w:t>
      </w:r>
      <w:r w:rsidR="0031458D">
        <w:t xml:space="preserve">. We refer to this sample as </w:t>
      </w:r>
      <w:r w:rsidR="00B92D93">
        <w:t>our “TA Sample.”</w:t>
      </w:r>
    </w:p>
    <w:p w:rsidR="001A783C" w:rsidRDefault="001A783C" w:rsidP="001A783C">
      <w:pPr>
        <w:spacing w:line="480" w:lineRule="auto"/>
        <w:ind w:firstLine="720"/>
      </w:pPr>
      <w:r>
        <w:t xml:space="preserve">While the </w:t>
      </w:r>
      <w:r w:rsidR="00417EED">
        <w:t xml:space="preserve">PSID sampling frame of following a nationally representative sample from 1968 and </w:t>
      </w:r>
      <w:r w:rsidR="00A46922">
        <w:t>their</w:t>
      </w:r>
      <w:r w:rsidR="00417EED">
        <w:t xml:space="preserve"> descend</w:t>
      </w:r>
      <w:r w:rsidR="00A46922">
        <w:t>a</w:t>
      </w:r>
      <w:r w:rsidR="00417EED">
        <w:t xml:space="preserve">nts provides an extraordinarily long panel, </w:t>
      </w:r>
      <w:r>
        <w:t xml:space="preserve">it </w:t>
      </w:r>
      <w:r w:rsidR="00417EED">
        <w:t xml:space="preserve">remains the case that it is representative of </w:t>
      </w:r>
      <w:r>
        <w:t>the population in 1968</w:t>
      </w:r>
      <w:r w:rsidR="00417EED">
        <w:t xml:space="preserve">, </w:t>
      </w:r>
      <w:r>
        <w:t>therefore</w:t>
      </w:r>
      <w:r w:rsidR="00290DC7">
        <w:t xml:space="preserve"> is not necessarily representative </w:t>
      </w:r>
      <w:r w:rsidR="00A32CBC">
        <w:t>of</w:t>
      </w:r>
      <w:r w:rsidR="00290DC7">
        <w:t xml:space="preserve"> the current </w:t>
      </w:r>
      <w:r w:rsidR="00290DC7">
        <w:lastRenderedPageBreak/>
        <w:t xml:space="preserve">US population. Most notably, </w:t>
      </w:r>
      <w:r w:rsidR="00D76C34">
        <w:t>it lacks observations on recent immigrants (unless they marry into the PSID sample)</w:t>
      </w:r>
      <w:r>
        <w:t>.</w:t>
      </w:r>
      <w:r>
        <w:rPr>
          <w:rStyle w:val="FootnoteReference"/>
        </w:rPr>
        <w:footnoteReference w:id="9"/>
      </w:r>
      <w:r w:rsidR="00A46922">
        <w:t xml:space="preserve"> We therefore supplement these analyses with data from the HRS</w:t>
      </w:r>
      <w:r w:rsidR="0065009D">
        <w:t>.</w:t>
      </w:r>
      <w:r>
        <w:t xml:space="preserve"> </w:t>
      </w:r>
    </w:p>
    <w:p w:rsidR="00822E3D" w:rsidRDefault="00822E3D" w:rsidP="00DA4B2F">
      <w:pPr>
        <w:spacing w:line="480" w:lineRule="auto"/>
      </w:pPr>
    </w:p>
    <w:p w:rsidR="00C46347" w:rsidRPr="00DA4B2F" w:rsidRDefault="00DA4B2F" w:rsidP="00ED18BE">
      <w:pPr>
        <w:spacing w:line="360" w:lineRule="auto"/>
      </w:pPr>
      <w:r>
        <w:rPr>
          <w:b/>
        </w:rPr>
        <w:t>3</w:t>
      </w:r>
      <w:r w:rsidR="007D70F6" w:rsidRPr="00DA4B2F">
        <w:rPr>
          <w:b/>
        </w:rPr>
        <w:t>.</w:t>
      </w:r>
      <w:r w:rsidR="004B1531">
        <w:rPr>
          <w:b/>
        </w:rPr>
        <w:t>2</w:t>
      </w:r>
      <w:r>
        <w:rPr>
          <w:b/>
        </w:rPr>
        <w:t>.</w:t>
      </w:r>
      <w:r w:rsidR="00A475EF" w:rsidRPr="00DA4B2F">
        <w:rPr>
          <w:b/>
        </w:rPr>
        <w:t xml:space="preserve"> </w:t>
      </w:r>
      <w:r w:rsidR="002F1BCC" w:rsidRPr="00DA4B2F">
        <w:rPr>
          <w:b/>
        </w:rPr>
        <w:t>The Health and Retirement Study</w:t>
      </w:r>
      <w:r w:rsidR="00290DC7">
        <w:rPr>
          <w:b/>
        </w:rPr>
        <w:t xml:space="preserve"> (HRS)</w:t>
      </w:r>
    </w:p>
    <w:p w:rsidR="004013CE" w:rsidRDefault="002B3EBA" w:rsidP="004013CE">
      <w:pPr>
        <w:spacing w:line="480" w:lineRule="auto"/>
      </w:pPr>
      <w:r>
        <w:t>Th</w:t>
      </w:r>
      <w:r w:rsidR="00F9460A">
        <w:t xml:space="preserve">e HRS </w:t>
      </w:r>
      <w:r w:rsidR="00DE28F9">
        <w:t xml:space="preserve">began in 1992 as </w:t>
      </w:r>
      <w:r w:rsidR="00F9460A">
        <w:t xml:space="preserve">a </w:t>
      </w:r>
      <w:r w:rsidR="001A39E0">
        <w:t xml:space="preserve">biennial </w:t>
      </w:r>
      <w:r w:rsidR="00F9460A">
        <w:t xml:space="preserve">panel survey of </w:t>
      </w:r>
      <w:r w:rsidR="00640DB9">
        <w:t xml:space="preserve">individuals </w:t>
      </w:r>
      <w:r w:rsidR="00393693">
        <w:t xml:space="preserve">born </w:t>
      </w:r>
      <w:r w:rsidR="00290DC7">
        <w:t>between 1931 and 1941</w:t>
      </w:r>
      <w:r w:rsidR="00640DB9">
        <w:t xml:space="preserve"> and their spouses or partners</w:t>
      </w:r>
      <w:r w:rsidR="00F9460A">
        <w:t xml:space="preserve">. </w:t>
      </w:r>
      <w:r w:rsidR="00C04695">
        <w:t xml:space="preserve"> </w:t>
      </w:r>
      <w:r w:rsidR="003A60E9">
        <w:t xml:space="preserve">In 1998, </w:t>
      </w:r>
      <w:r w:rsidR="00C10C08">
        <w:t xml:space="preserve">the HRS was merged with </w:t>
      </w:r>
      <w:r w:rsidR="003A60E9">
        <w:t>a</w:t>
      </w:r>
      <w:r w:rsidR="00F9460A">
        <w:t xml:space="preserve"> companion survey</w:t>
      </w:r>
      <w:r w:rsidR="00C10C08">
        <w:t>, the Asset and Health Dynamics Study (AHEAD),</w:t>
      </w:r>
      <w:r w:rsidR="00290DC7">
        <w:t xml:space="preserve"> </w:t>
      </w:r>
      <w:r w:rsidR="003A60E9">
        <w:t xml:space="preserve">and two additional cohorts </w:t>
      </w:r>
      <w:r w:rsidR="003E1950">
        <w:t xml:space="preserve">of respondents </w:t>
      </w:r>
      <w:r w:rsidR="00290DC7">
        <w:t xml:space="preserve">to create a sample that </w:t>
      </w:r>
      <w:r w:rsidR="00A46922">
        <w:t>was approximately</w:t>
      </w:r>
      <w:r w:rsidR="00290DC7">
        <w:t xml:space="preserve"> representative of the US population ages 50 </w:t>
      </w:r>
      <w:r w:rsidR="00573F65">
        <w:t xml:space="preserve">or </w:t>
      </w:r>
      <w:r w:rsidR="00290DC7">
        <w:t>older</w:t>
      </w:r>
      <w:r w:rsidR="005B3156">
        <w:t xml:space="preserve">.  </w:t>
      </w:r>
      <w:r w:rsidR="00090A26">
        <w:t xml:space="preserve">These </w:t>
      </w:r>
      <w:r w:rsidR="00640DB9">
        <w:t>individuals</w:t>
      </w:r>
      <w:r w:rsidR="00090A26">
        <w:t xml:space="preserve"> have been </w:t>
      </w:r>
      <w:r w:rsidR="003F48EF">
        <w:t xml:space="preserve">interviewed </w:t>
      </w:r>
      <w:r w:rsidR="00090A26">
        <w:t xml:space="preserve">biennially, with additional cohorts added in 2004 </w:t>
      </w:r>
      <w:r w:rsidR="00290DC7">
        <w:t xml:space="preserve">and 2010 </w:t>
      </w:r>
      <w:r w:rsidR="00090A26">
        <w:t xml:space="preserve">to </w:t>
      </w:r>
      <w:r w:rsidR="00640DB9">
        <w:t xml:space="preserve">retain </w:t>
      </w:r>
      <w:r w:rsidR="00EF1A4F">
        <w:t>a sample</w:t>
      </w:r>
      <w:r w:rsidR="00436F3C">
        <w:t xml:space="preserve"> that was approximately representative of the 50 and older population in these years.</w:t>
      </w:r>
    </w:p>
    <w:p w:rsidR="00FD0FEF" w:rsidRDefault="00F9460A" w:rsidP="00AA4457">
      <w:pPr>
        <w:spacing w:line="480" w:lineRule="auto"/>
        <w:ind w:firstLine="720"/>
      </w:pPr>
      <w:r>
        <w:t>The HRS collect</w:t>
      </w:r>
      <w:r w:rsidR="00E53E4E">
        <w:t>s</w:t>
      </w:r>
      <w:r>
        <w:t xml:space="preserve"> detailed information </w:t>
      </w:r>
      <w:r w:rsidR="00140374">
        <w:t>about</w:t>
      </w:r>
      <w:r>
        <w:t xml:space="preserve"> the income, </w:t>
      </w:r>
      <w:r w:rsidR="00DC0817">
        <w:t>wealth</w:t>
      </w:r>
      <w:r>
        <w:t xml:space="preserve">, </w:t>
      </w:r>
      <w:r w:rsidR="001A7ED1">
        <w:t xml:space="preserve">employment, family structure, </w:t>
      </w:r>
      <w:r>
        <w:t>and health of the respondents</w:t>
      </w:r>
      <w:r w:rsidR="00DE6E7B">
        <w:t xml:space="preserve">.  </w:t>
      </w:r>
      <w:r w:rsidR="009E3310">
        <w:t>T</w:t>
      </w:r>
      <w:r w:rsidR="00DE6E7B">
        <w:t xml:space="preserve">he HRS </w:t>
      </w:r>
      <w:r w:rsidR="009E3310">
        <w:t>also</w:t>
      </w:r>
      <w:r w:rsidR="00090A26">
        <w:t xml:space="preserve"> collects</w:t>
      </w:r>
      <w:r w:rsidR="003E1950">
        <w:t xml:space="preserve"> a good deal </w:t>
      </w:r>
      <w:r w:rsidR="006562C9">
        <w:t xml:space="preserve">of information </w:t>
      </w:r>
      <w:r w:rsidR="00140374">
        <w:t>about</w:t>
      </w:r>
      <w:r>
        <w:t xml:space="preserve"> </w:t>
      </w:r>
      <w:r w:rsidR="005B3F16">
        <w:t xml:space="preserve">each of </w:t>
      </w:r>
      <w:r>
        <w:t>the respondents’ children</w:t>
      </w:r>
      <w:r w:rsidR="00DE6E7B">
        <w:t>, including</w:t>
      </w:r>
      <w:r>
        <w:t xml:space="preserve"> the </w:t>
      </w:r>
      <w:r w:rsidR="00AA614A">
        <w:t xml:space="preserve">income of each adult </w:t>
      </w:r>
      <w:r>
        <w:t xml:space="preserve">child’s </w:t>
      </w:r>
      <w:r w:rsidR="00AA614A">
        <w:t xml:space="preserve">own </w:t>
      </w:r>
      <w:r>
        <w:t>family</w:t>
      </w:r>
      <w:r w:rsidR="00AA614A">
        <w:t xml:space="preserve">, </w:t>
      </w:r>
      <w:r>
        <w:t xml:space="preserve"> </w:t>
      </w:r>
      <w:r w:rsidR="00A46922">
        <w:t xml:space="preserve">his </w:t>
      </w:r>
      <w:r>
        <w:t>schooling level, marital status, and</w:t>
      </w:r>
      <w:r w:rsidR="003116C7">
        <w:t xml:space="preserve"> </w:t>
      </w:r>
      <w:r>
        <w:t xml:space="preserve">cash transfers </w:t>
      </w:r>
      <w:r w:rsidR="001A7ED1">
        <w:t>between the parents and child</w:t>
      </w:r>
      <w:r>
        <w:t>.</w:t>
      </w:r>
      <w:r w:rsidR="00E84730">
        <w:rPr>
          <w:rStyle w:val="FootnoteReference"/>
        </w:rPr>
        <w:footnoteReference w:id="10"/>
      </w:r>
      <w:r w:rsidR="003452B9">
        <w:t xml:space="preserve"> </w:t>
      </w:r>
    </w:p>
    <w:p w:rsidR="0093677A" w:rsidRDefault="00AA614A" w:rsidP="0093677A">
      <w:pPr>
        <w:spacing w:line="480" w:lineRule="auto"/>
        <w:ind w:firstLine="720"/>
      </w:pPr>
      <w:r>
        <w:t>Using these</w:t>
      </w:r>
      <w:r w:rsidR="0093677A">
        <w:t xml:space="preserve"> data, we construct a sample of </w:t>
      </w:r>
      <w:r>
        <w:t xml:space="preserve">children of the HRS respondents who were </w:t>
      </w:r>
      <w:r w:rsidR="0093677A">
        <w:t xml:space="preserve">19-, 20-, </w:t>
      </w:r>
      <w:r>
        <w:t>or</w:t>
      </w:r>
      <w:r w:rsidR="0093677A">
        <w:t xml:space="preserve"> 21- year olds</w:t>
      </w:r>
      <w:r w:rsidR="003E1950">
        <w:t xml:space="preserve"> </w:t>
      </w:r>
      <w:r>
        <w:t xml:space="preserve">in one of the years </w:t>
      </w:r>
      <w:r w:rsidR="0093677A">
        <w:t xml:space="preserve">1992, 1998, and 2004.  </w:t>
      </w:r>
      <w:r w:rsidR="00C55D1F">
        <w:t>By focusing on the years in which new cohorts entered</w:t>
      </w:r>
      <w:r w:rsidR="00576A1B">
        <w:t xml:space="preserve"> the HRS</w:t>
      </w:r>
      <w:r w:rsidR="00C55D1F">
        <w:t xml:space="preserve">, we obtain a sample of </w:t>
      </w:r>
      <w:r w:rsidR="004166C5">
        <w:t>young adults</w:t>
      </w:r>
      <w:r w:rsidR="00C55D1F">
        <w:t xml:space="preserve"> from households </w:t>
      </w:r>
      <w:r w:rsidR="003452B9">
        <w:t>with parents</w:t>
      </w:r>
      <w:r w:rsidR="001C7D6D">
        <w:t xml:space="preserve"> </w:t>
      </w:r>
      <w:r w:rsidR="003E1950">
        <w:t xml:space="preserve">who are </w:t>
      </w:r>
      <w:r w:rsidR="001C7D6D">
        <w:t>as young as possible</w:t>
      </w:r>
      <w:r w:rsidR="003E1950">
        <w:t xml:space="preserve"> within the survey framework</w:t>
      </w:r>
      <w:r w:rsidR="004E1AFA">
        <w:t>. Across the three years we have a total of</w:t>
      </w:r>
      <w:r w:rsidR="00E13E1C">
        <w:t xml:space="preserve"> 3,188 young adults</w:t>
      </w:r>
      <w:r w:rsidR="00640DB9">
        <w:t xml:space="preserve"> whose </w:t>
      </w:r>
      <w:r w:rsidR="00134186">
        <w:t xml:space="preserve">had at least one </w:t>
      </w:r>
      <w:r w:rsidR="00640DB9">
        <w:t>parent age 50 or older when the</w:t>
      </w:r>
      <w:r w:rsidR="00134186">
        <w:t>y</w:t>
      </w:r>
      <w:r w:rsidR="00640DB9">
        <w:t xml:space="preserve"> graduated from high school.</w:t>
      </w:r>
      <w:r w:rsidR="00F84B52">
        <w:t xml:space="preserve"> </w:t>
      </w:r>
    </w:p>
    <w:p w:rsidR="00EC4059" w:rsidRDefault="00EC4059" w:rsidP="00F9460A">
      <w:pPr>
        <w:spacing w:line="360" w:lineRule="auto"/>
        <w:ind w:firstLine="720"/>
      </w:pPr>
    </w:p>
    <w:p w:rsidR="001F2592" w:rsidRPr="00DA4B2F" w:rsidRDefault="00A4721B" w:rsidP="00A4721B">
      <w:pPr>
        <w:spacing w:line="360" w:lineRule="auto"/>
      </w:pPr>
      <w:r>
        <w:rPr>
          <w:b/>
        </w:rPr>
        <w:lastRenderedPageBreak/>
        <w:t>3</w:t>
      </w:r>
      <w:r w:rsidRPr="00DA4B2F">
        <w:rPr>
          <w:b/>
        </w:rPr>
        <w:t>.</w:t>
      </w:r>
      <w:r>
        <w:rPr>
          <w:b/>
        </w:rPr>
        <w:t>3.</w:t>
      </w:r>
      <w:r w:rsidRPr="00DA4B2F">
        <w:rPr>
          <w:b/>
        </w:rPr>
        <w:t xml:space="preserve"> </w:t>
      </w:r>
      <w:r>
        <w:rPr>
          <w:b/>
        </w:rPr>
        <w:t>Issues</w:t>
      </w:r>
      <w:r w:rsidR="00A07ACF">
        <w:rPr>
          <w:b/>
        </w:rPr>
        <w:t xml:space="preserve"> when Analyzing Both Data Sets</w:t>
      </w:r>
    </w:p>
    <w:p w:rsidR="0060643A" w:rsidRDefault="003A537F" w:rsidP="00F84B52">
      <w:pPr>
        <w:spacing w:line="480" w:lineRule="auto"/>
        <w:ind w:firstLine="720"/>
      </w:pPr>
      <w:r>
        <w:t>In both data sets</w:t>
      </w:r>
      <w:r w:rsidR="00A47EBF">
        <w:t>,</w:t>
      </w:r>
      <w:r w:rsidR="00134186">
        <w:t xml:space="preserve"> our measure of </w:t>
      </w:r>
      <w:r>
        <w:t>educational attainment of the children</w:t>
      </w:r>
      <w:r w:rsidR="00134186">
        <w:t xml:space="preserve"> comes from reports of the parents</w:t>
      </w:r>
      <w:r>
        <w:t xml:space="preserve">. </w:t>
      </w:r>
      <w:r w:rsidR="00B41C4B">
        <w:t>Importantly, these questions ask about whether the young adult is “in school”</w:t>
      </w:r>
      <w:r w:rsidR="00A368BD">
        <w:t xml:space="preserve"> and the highest grade completed.</w:t>
      </w:r>
      <w:r w:rsidR="00461039">
        <w:rPr>
          <w:rStyle w:val="FootnoteReference"/>
        </w:rPr>
        <w:footnoteReference w:id="11"/>
      </w:r>
      <w:r w:rsidR="00B41C4B">
        <w:t xml:space="preserve">  Thus, our primary outcome is most appropriately interpreted as whether the young adult is obtaining </w:t>
      </w:r>
      <w:r w:rsidR="00B30CF5" w:rsidRPr="00B30CF5">
        <w:rPr>
          <w:i/>
        </w:rPr>
        <w:t xml:space="preserve">any </w:t>
      </w:r>
      <w:r w:rsidR="00B41C4B">
        <w:t>post-secondary schooling</w:t>
      </w:r>
      <w:r w:rsidR="00595C8E">
        <w:t>, although</w:t>
      </w:r>
      <w:r w:rsidR="00B41C4B">
        <w:t xml:space="preserve"> we often simplify our </w:t>
      </w:r>
      <w:r w:rsidR="00595C8E">
        <w:t xml:space="preserve">terminology </w:t>
      </w:r>
      <w:r w:rsidR="00751AB2">
        <w:t>by</w:t>
      </w:r>
      <w:r w:rsidR="00595C8E">
        <w:t xml:space="preserve"> </w:t>
      </w:r>
      <w:r w:rsidR="00B41C4B">
        <w:t>discuss</w:t>
      </w:r>
      <w:r w:rsidR="00751AB2">
        <w:t>ing</w:t>
      </w:r>
      <w:r w:rsidR="00B41C4B">
        <w:t xml:space="preserve"> our results </w:t>
      </w:r>
      <w:r w:rsidR="00595C8E">
        <w:t xml:space="preserve">as if </w:t>
      </w:r>
      <w:r w:rsidR="00B41C4B">
        <w:t xml:space="preserve">the young adult is attending </w:t>
      </w:r>
      <w:r w:rsidR="00FA0C6F">
        <w:t>“college</w:t>
      </w:r>
      <w:r w:rsidR="00012BF5">
        <w:t>.</w:t>
      </w:r>
      <w:r w:rsidR="00FA0C6F">
        <w:t xml:space="preserve">” </w:t>
      </w:r>
    </w:p>
    <w:p w:rsidR="00104680" w:rsidRDefault="00A4721B" w:rsidP="00F84B52">
      <w:pPr>
        <w:spacing w:line="480" w:lineRule="auto"/>
        <w:ind w:firstLine="720"/>
      </w:pPr>
      <w:r>
        <w:t>Although</w:t>
      </w:r>
      <w:r w:rsidR="004C52CA">
        <w:t xml:space="preserve"> we treat the PSID and HRS as similarly as possible in our analys</w:t>
      </w:r>
      <w:r w:rsidR="00595C8E">
        <w:t>e</w:t>
      </w:r>
      <w:r w:rsidR="004C52CA">
        <w:t xml:space="preserve">s, </w:t>
      </w:r>
      <w:r w:rsidR="004C7ABE">
        <w:t>important differences do exist</w:t>
      </w:r>
      <w:r w:rsidR="00A66905">
        <w:t xml:space="preserve">.  </w:t>
      </w:r>
      <w:r w:rsidR="00104680">
        <w:t xml:space="preserve">Most importantly, because the HRS is designed to be representative of older households, we can study only the behavior of young adults with a parent in the relevant age range.  Tabulations from the PSID show that just 35 percent of the 19-20 year olds in that survey have a household head </w:t>
      </w:r>
      <w:r w:rsidR="00A46922">
        <w:t xml:space="preserve">(typically a parent) </w:t>
      </w:r>
      <w:r w:rsidR="00104680">
        <w:t xml:space="preserve">that is over the age of 50.  Moreover, because higher SES parents tend to be older when their children are born, we will have a sample that is more likely to attend college than would a sample of randomly drawn young people in this age group.  Again using the PSID, we find that 41 percent of children who attend college have a </w:t>
      </w:r>
      <w:r w:rsidR="007A3E13">
        <w:t>household head</w:t>
      </w:r>
      <w:r w:rsidR="00104680">
        <w:t xml:space="preserve"> over the age of 50, but only 28 percent of children who do not attend college</w:t>
      </w:r>
      <w:r w:rsidR="00782213">
        <w:t xml:space="preserve"> do.</w:t>
      </w:r>
      <w:r w:rsidR="00104680">
        <w:t xml:space="preserve">  Although we include measures of parental age in our regressions, the PSID and HRS samples are fundamentally representative of different populations, and the results from the two data sets are not directly comparable. We view the results from the HRS as supplemental to our main PSID analysis providing a robustness check on our results and allowing us to examine behavior of Hispanics.</w:t>
      </w:r>
    </w:p>
    <w:p w:rsidR="00A4721B" w:rsidRDefault="00A875AD" w:rsidP="00F84B52">
      <w:pPr>
        <w:spacing w:line="480" w:lineRule="auto"/>
        <w:ind w:firstLine="720"/>
      </w:pPr>
      <w:r>
        <w:lastRenderedPageBreak/>
        <w:t>We note two final issues.  B</w:t>
      </w:r>
      <w:r w:rsidR="00640DB9">
        <w:t>ecause</w:t>
      </w:r>
      <w:r w:rsidR="00A66905">
        <w:t xml:space="preserve"> the PSID</w:t>
      </w:r>
      <w:r w:rsidR="00640DB9">
        <w:t xml:space="preserve"> </w:t>
      </w:r>
      <w:r>
        <w:t>define</w:t>
      </w:r>
      <w:r w:rsidR="00640DB9">
        <w:t xml:space="preserve">s the </w:t>
      </w:r>
      <w:r w:rsidR="00F84B52">
        <w:t xml:space="preserve">father / </w:t>
      </w:r>
      <w:r w:rsidR="00640DB9">
        <w:t xml:space="preserve">male </w:t>
      </w:r>
      <w:r>
        <w:t>to be</w:t>
      </w:r>
      <w:r w:rsidR="00A66905">
        <w:t xml:space="preserve"> the head of the household </w:t>
      </w:r>
      <w:r w:rsidR="00640DB9">
        <w:t xml:space="preserve">in two parent families, we </w:t>
      </w:r>
      <w:r w:rsidR="00A66905">
        <w:t xml:space="preserve">adopt this </w:t>
      </w:r>
      <w:r w:rsidR="00640DB9">
        <w:t>language</w:t>
      </w:r>
      <w:r w:rsidR="003E1950">
        <w:t xml:space="preserve"> when discussing the HRS. </w:t>
      </w:r>
      <w:r w:rsidR="00A12560">
        <w:t xml:space="preserve">In addition, </w:t>
      </w:r>
      <w:r w:rsidR="0000210E">
        <w:t>because</w:t>
      </w:r>
      <w:r w:rsidR="003E1950">
        <w:t xml:space="preserve"> of the small number of Hispanics in</w:t>
      </w:r>
      <w:r w:rsidR="0000210E">
        <w:t xml:space="preserve"> the PSID</w:t>
      </w:r>
      <w:r w:rsidR="001A783C">
        <w:t>,</w:t>
      </w:r>
      <w:r w:rsidR="0000210E">
        <w:t xml:space="preserve"> </w:t>
      </w:r>
      <w:r w:rsidR="003E1950">
        <w:t>we</w:t>
      </w:r>
      <w:r w:rsidR="00BD022F">
        <w:t xml:space="preserve"> do </w:t>
      </w:r>
      <w:r w:rsidR="00C450FA">
        <w:t xml:space="preserve">not include a Hispanic identifier </w:t>
      </w:r>
      <w:r w:rsidR="00A927A6">
        <w:t xml:space="preserve">when analyzing the PSID, </w:t>
      </w:r>
      <w:r w:rsidR="00136270">
        <w:t xml:space="preserve">but </w:t>
      </w:r>
      <w:r w:rsidR="00BD022F">
        <w:t>do</w:t>
      </w:r>
      <w:r w:rsidR="00640DB9">
        <w:t xml:space="preserve"> so</w:t>
      </w:r>
      <w:r w:rsidR="00136270">
        <w:t xml:space="preserve"> </w:t>
      </w:r>
      <w:r w:rsidR="003E1950">
        <w:t xml:space="preserve">when </w:t>
      </w:r>
      <w:r w:rsidR="00A927A6">
        <w:t>analyz</w:t>
      </w:r>
      <w:r w:rsidR="003E1950">
        <w:t>ing the HRS</w:t>
      </w:r>
      <w:r w:rsidR="0060643A">
        <w:t>.</w:t>
      </w:r>
      <w:r w:rsidR="00C34DB9">
        <w:t xml:space="preserve"> </w:t>
      </w:r>
    </w:p>
    <w:p w:rsidR="00A4721B" w:rsidRDefault="00A4721B" w:rsidP="00E65046">
      <w:pPr>
        <w:spacing w:line="360" w:lineRule="auto"/>
        <w:rPr>
          <w:b/>
        </w:rPr>
      </w:pPr>
    </w:p>
    <w:p w:rsidR="003D7009" w:rsidRPr="00731592" w:rsidRDefault="00731592" w:rsidP="00E65046">
      <w:pPr>
        <w:spacing w:line="360" w:lineRule="auto"/>
        <w:rPr>
          <w:b/>
        </w:rPr>
      </w:pPr>
      <w:r>
        <w:rPr>
          <w:b/>
        </w:rPr>
        <w:t>4</w:t>
      </w:r>
      <w:r w:rsidR="003D7009" w:rsidRPr="00731592">
        <w:rPr>
          <w:b/>
        </w:rPr>
        <w:t xml:space="preserve">.  </w:t>
      </w:r>
      <w:r w:rsidR="009E3310" w:rsidRPr="00731592">
        <w:rPr>
          <w:b/>
        </w:rPr>
        <w:t>Family Financial Resources</w:t>
      </w:r>
      <w:r w:rsidR="00F21D1F" w:rsidRPr="00731592">
        <w:rPr>
          <w:b/>
        </w:rPr>
        <w:t xml:space="preserve"> and Attending College</w:t>
      </w:r>
    </w:p>
    <w:p w:rsidR="00B319B8" w:rsidRDefault="00B319B8" w:rsidP="00630292">
      <w:pPr>
        <w:spacing w:line="480" w:lineRule="auto"/>
      </w:pPr>
      <w:r>
        <w:t xml:space="preserve">Our analyses focus on three questions.  How </w:t>
      </w:r>
      <w:r w:rsidR="006A25A8">
        <w:t>do</w:t>
      </w:r>
      <w:r>
        <w:t xml:space="preserve"> financial resources relate to college attendance?  </w:t>
      </w:r>
      <w:r w:rsidR="005052D1">
        <w:t>How important are</w:t>
      </w:r>
      <w:r>
        <w:t xml:space="preserve"> other parental characteristics </w:t>
      </w:r>
      <w:r w:rsidR="00D359F3">
        <w:t xml:space="preserve">such as schooling </w:t>
      </w:r>
      <w:r>
        <w:t xml:space="preserve">after controlling for </w:t>
      </w:r>
      <w:r w:rsidR="006A25A8">
        <w:t>these</w:t>
      </w:r>
      <w:r>
        <w:t xml:space="preserve"> resources? </w:t>
      </w:r>
      <w:r w:rsidR="00711F85" w:rsidRPr="0044450A">
        <w:t xml:space="preserve"> </w:t>
      </w:r>
      <w:r w:rsidR="00D359F3">
        <w:t>A</w:t>
      </w:r>
      <w:r w:rsidR="00711F85">
        <w:t>nd, h</w:t>
      </w:r>
      <w:r w:rsidR="00711F85" w:rsidRPr="0044450A">
        <w:t>ow do</w:t>
      </w:r>
      <w:r w:rsidR="00711F85">
        <w:t>es the relationship between financial resources and college attendance vary with high school achievement</w:t>
      </w:r>
      <w:r>
        <w:t>?</w:t>
      </w:r>
    </w:p>
    <w:p w:rsidR="00507663" w:rsidRDefault="00507663" w:rsidP="00630292">
      <w:pPr>
        <w:spacing w:line="480" w:lineRule="auto"/>
      </w:pPr>
    </w:p>
    <w:p w:rsidR="00B319B8" w:rsidRDefault="00731592" w:rsidP="00B319B8">
      <w:pPr>
        <w:spacing w:line="360" w:lineRule="auto"/>
        <w:rPr>
          <w:b/>
        </w:rPr>
      </w:pPr>
      <w:r>
        <w:rPr>
          <w:b/>
        </w:rPr>
        <w:t>4</w:t>
      </w:r>
      <w:r w:rsidRPr="00731592">
        <w:rPr>
          <w:b/>
        </w:rPr>
        <w:t>.</w:t>
      </w:r>
      <w:r w:rsidR="000F1364">
        <w:rPr>
          <w:b/>
        </w:rPr>
        <w:t>1.</w:t>
      </w:r>
      <w:r w:rsidRPr="00731592">
        <w:rPr>
          <w:b/>
        </w:rPr>
        <w:t xml:space="preserve"> </w:t>
      </w:r>
      <w:r w:rsidR="00712B13">
        <w:rPr>
          <w:b/>
        </w:rPr>
        <w:t xml:space="preserve">Family Resources </w:t>
      </w:r>
      <w:r w:rsidR="00A00725">
        <w:rPr>
          <w:b/>
        </w:rPr>
        <w:t>a</w:t>
      </w:r>
      <w:r w:rsidR="001D5F24">
        <w:rPr>
          <w:b/>
        </w:rPr>
        <w:t xml:space="preserve">nd College </w:t>
      </w:r>
      <w:r w:rsidR="005816D9">
        <w:rPr>
          <w:b/>
        </w:rPr>
        <w:t>Attendance</w:t>
      </w:r>
    </w:p>
    <w:p w:rsidR="0059614A" w:rsidRDefault="00B677F2" w:rsidP="00220688">
      <w:pPr>
        <w:spacing w:line="480" w:lineRule="auto"/>
      </w:pPr>
      <w:r>
        <w:t xml:space="preserve">We begin by </w:t>
      </w:r>
      <w:r w:rsidR="007E3FD1">
        <w:t>pooling the</w:t>
      </w:r>
      <w:r>
        <w:t xml:space="preserve"> 19-20 years </w:t>
      </w:r>
      <w:proofErr w:type="spellStart"/>
      <w:r>
        <w:t>olds</w:t>
      </w:r>
      <w:proofErr w:type="spellEnd"/>
      <w:r>
        <w:t xml:space="preserve"> in </w:t>
      </w:r>
      <w:r w:rsidR="00F84B52">
        <w:t>nine</w:t>
      </w:r>
      <w:r>
        <w:t xml:space="preserve"> PSID waves and dividing th</w:t>
      </w:r>
      <w:r w:rsidR="00E16353">
        <w:t>em</w:t>
      </w:r>
      <w:r>
        <w:t xml:space="preserve"> into those who were </w:t>
      </w:r>
      <w:r w:rsidR="00223E58">
        <w:t>attending</w:t>
      </w:r>
      <w:r>
        <w:t xml:space="preserve"> college </w:t>
      </w:r>
      <w:r w:rsidR="00CE213A">
        <w:t xml:space="preserve">(or, more accurately, post-secondary schooling) </w:t>
      </w:r>
      <w:r w:rsidR="005052D1">
        <w:t xml:space="preserve">at the interview date </w:t>
      </w:r>
      <w:r>
        <w:t>and those who were not.</w:t>
      </w:r>
      <w:r w:rsidR="001D722B">
        <w:t xml:space="preserve"> </w:t>
      </w:r>
      <w:r w:rsidR="00815DB2">
        <w:t>T</w:t>
      </w:r>
      <w:r w:rsidR="00031067">
        <w:t xml:space="preserve">he first two columns of </w:t>
      </w:r>
      <w:r w:rsidR="003E67BC">
        <w:t>T</w:t>
      </w:r>
      <w:r w:rsidR="00815DB2">
        <w:t>able 1</w:t>
      </w:r>
      <w:r w:rsidR="009F02FC">
        <w:t xml:space="preserve"> show </w:t>
      </w:r>
      <w:r w:rsidR="005052D1">
        <w:t>the mean of various</w:t>
      </w:r>
      <w:r w:rsidR="009F02FC">
        <w:t xml:space="preserve"> family characteristics</w:t>
      </w:r>
      <w:r w:rsidR="005052D1">
        <w:t xml:space="preserve"> for </w:t>
      </w:r>
      <w:r>
        <w:t>the</w:t>
      </w:r>
      <w:r w:rsidR="003373B8">
        <w:t>se</w:t>
      </w:r>
      <w:r>
        <w:t xml:space="preserve"> two groups.</w:t>
      </w:r>
      <w:r w:rsidR="0087220D">
        <w:t xml:space="preserve">  Young adults </w:t>
      </w:r>
      <w:r w:rsidR="00AE3EE7">
        <w:t xml:space="preserve">who attend college come from households </w:t>
      </w:r>
      <w:r w:rsidR="009F021E">
        <w:t xml:space="preserve">that are </w:t>
      </w:r>
      <w:r w:rsidR="00D207E6">
        <w:t xml:space="preserve">more </w:t>
      </w:r>
      <w:r w:rsidR="009F021E">
        <w:t>likely to be</w:t>
      </w:r>
      <w:r w:rsidR="00D207E6">
        <w:t xml:space="preserve"> </w:t>
      </w:r>
      <w:r w:rsidR="009F021E">
        <w:t xml:space="preserve">two-parent household </w:t>
      </w:r>
      <w:r w:rsidR="00AE3EE7">
        <w:t>(</w:t>
      </w:r>
      <w:r w:rsidR="006E7E10">
        <w:t>0</w:t>
      </w:r>
      <w:r w:rsidR="00AE3EE7">
        <w:t>.78 v</w:t>
      </w:r>
      <w:r w:rsidR="009F021E">
        <w:t>ersus</w:t>
      </w:r>
      <w:r w:rsidR="00AE3EE7">
        <w:t xml:space="preserve"> </w:t>
      </w:r>
      <w:r w:rsidR="006E7E10">
        <w:t>0</w:t>
      </w:r>
      <w:r w:rsidR="00AE3EE7">
        <w:t>.6</w:t>
      </w:r>
      <w:r w:rsidR="00727353">
        <w:t>2</w:t>
      </w:r>
      <w:r w:rsidR="00AE3EE7">
        <w:t>)</w:t>
      </w:r>
      <w:r w:rsidR="009F021E">
        <w:t xml:space="preserve"> and</w:t>
      </w:r>
      <w:r w:rsidR="00255264">
        <w:t xml:space="preserve"> </w:t>
      </w:r>
      <w:r w:rsidR="00A73877">
        <w:t>have a head that is older (49.</w:t>
      </w:r>
      <w:r w:rsidR="00727353">
        <w:t>2</w:t>
      </w:r>
      <w:r w:rsidR="00A73877">
        <w:t xml:space="preserve"> years old vs. 47.</w:t>
      </w:r>
      <w:r w:rsidR="00727353">
        <w:t>2</w:t>
      </w:r>
      <w:r w:rsidR="00A73877">
        <w:t>), more educated (13.3 completed years vs. 11.8), and less likely to be black (</w:t>
      </w:r>
      <w:r w:rsidR="006E7E10">
        <w:t>0</w:t>
      </w:r>
      <w:r w:rsidR="00A73877">
        <w:t xml:space="preserve">.14 vs. </w:t>
      </w:r>
      <w:r w:rsidR="006E7E10">
        <w:t>0</w:t>
      </w:r>
      <w:r w:rsidR="00A73877">
        <w:t>.22).</w:t>
      </w:r>
      <w:r w:rsidR="00220688">
        <w:t xml:space="preserve">  We also find that </w:t>
      </w:r>
      <w:r w:rsidR="006B19C3">
        <w:t xml:space="preserve">parental </w:t>
      </w:r>
      <w:r w:rsidR="00220688">
        <w:t>financial resources are</w:t>
      </w:r>
      <w:r w:rsidR="006B19C3">
        <w:t xml:space="preserve"> </w:t>
      </w:r>
      <w:r w:rsidR="00B24D9D">
        <w:t xml:space="preserve">substantially </w:t>
      </w:r>
      <w:r w:rsidR="00987366">
        <w:t>greater</w:t>
      </w:r>
      <w:r w:rsidR="006B19C3">
        <w:t xml:space="preserve"> for attendees.  For example,</w:t>
      </w:r>
      <w:r w:rsidR="00C45C7A">
        <w:t xml:space="preserve"> t</w:t>
      </w:r>
      <w:r w:rsidR="006B19C3">
        <w:t xml:space="preserve">he median household income </w:t>
      </w:r>
      <w:r w:rsidR="00C45C7A">
        <w:t xml:space="preserve">for </w:t>
      </w:r>
      <w:r w:rsidR="006B19C3">
        <w:t xml:space="preserve">parents of attendees </w:t>
      </w:r>
      <w:r w:rsidR="00C45C7A">
        <w:t xml:space="preserve">is </w:t>
      </w:r>
      <w:r w:rsidR="006B19C3">
        <w:t>a</w:t>
      </w:r>
      <w:r w:rsidR="00B24D9D">
        <w:t>pproximately</w:t>
      </w:r>
      <w:r w:rsidR="006B19C3">
        <w:t xml:space="preserve"> $86</w:t>
      </w:r>
      <w:r w:rsidR="00B24D9D">
        <w:t>,000</w:t>
      </w:r>
      <w:r w:rsidR="00987366">
        <w:t>,</w:t>
      </w:r>
      <w:r w:rsidR="006B19C3">
        <w:t xml:space="preserve"> but</w:t>
      </w:r>
      <w:r w:rsidR="00B24D9D">
        <w:t xml:space="preserve"> is</w:t>
      </w:r>
      <w:r w:rsidR="006B19C3">
        <w:t xml:space="preserve"> only $56</w:t>
      </w:r>
      <w:r w:rsidR="00B24D9D">
        <w:t>,000</w:t>
      </w:r>
      <w:r w:rsidR="006B19C3">
        <w:t xml:space="preserve"> for non-attendees.  </w:t>
      </w:r>
      <w:r w:rsidR="00131953">
        <w:t>The absolute gaps are similar</w:t>
      </w:r>
      <w:r w:rsidR="001C0311">
        <w:t xml:space="preserve"> </w:t>
      </w:r>
      <w:r w:rsidR="00131953">
        <w:t>at the 25</w:t>
      </w:r>
      <w:r w:rsidR="00131953" w:rsidRPr="00131953">
        <w:rPr>
          <w:vertAlign w:val="superscript"/>
        </w:rPr>
        <w:t>th</w:t>
      </w:r>
      <w:r w:rsidR="00131953">
        <w:t xml:space="preserve"> percentile ($54</w:t>
      </w:r>
      <w:r w:rsidR="00B24D9D">
        <w:t>,000</w:t>
      </w:r>
      <w:r w:rsidR="00131953">
        <w:t xml:space="preserve"> versus $31</w:t>
      </w:r>
      <w:r w:rsidR="00B24D9D">
        <w:t>,000</w:t>
      </w:r>
      <w:r w:rsidR="00131953">
        <w:t>) and</w:t>
      </w:r>
      <w:r w:rsidR="00B24D9D">
        <w:t xml:space="preserve"> at</w:t>
      </w:r>
      <w:r w:rsidR="00131953">
        <w:t xml:space="preserve"> the 75</w:t>
      </w:r>
      <w:r w:rsidR="00131953" w:rsidRPr="00131953">
        <w:rPr>
          <w:vertAlign w:val="superscript"/>
        </w:rPr>
        <w:t>th</w:t>
      </w:r>
      <w:r w:rsidR="00131953">
        <w:t xml:space="preserve"> percentile ($128</w:t>
      </w:r>
      <w:r w:rsidR="00B24D9D">
        <w:t>,000</w:t>
      </w:r>
      <w:r w:rsidR="00131953">
        <w:t xml:space="preserve"> v</w:t>
      </w:r>
      <w:r w:rsidR="00B24D9D">
        <w:t>er</w:t>
      </w:r>
      <w:r w:rsidR="00131953">
        <w:t>s</w:t>
      </w:r>
      <w:r w:rsidR="00B24D9D">
        <w:t>us</w:t>
      </w:r>
      <w:r w:rsidR="00131953">
        <w:t xml:space="preserve"> $85</w:t>
      </w:r>
      <w:r w:rsidR="00B24D9D">
        <w:t>,000</w:t>
      </w:r>
      <w:r w:rsidR="00131953">
        <w:t xml:space="preserve">).  </w:t>
      </w:r>
      <w:r w:rsidR="00413989">
        <w:t xml:space="preserve">The </w:t>
      </w:r>
      <w:r w:rsidR="00DC0817">
        <w:t>wealth</w:t>
      </w:r>
      <w:r w:rsidR="00E63DCB">
        <w:t xml:space="preserve"> </w:t>
      </w:r>
      <w:r w:rsidR="00413989">
        <w:t xml:space="preserve">gaps between attendees and non-attendees are </w:t>
      </w:r>
      <w:r w:rsidR="00E63DCB">
        <w:t>even</w:t>
      </w:r>
      <w:r w:rsidR="00413989">
        <w:t xml:space="preserve"> larger</w:t>
      </w:r>
      <w:r w:rsidR="00034DC9">
        <w:t xml:space="preserve"> than </w:t>
      </w:r>
      <w:r w:rsidR="00AD7F2A">
        <w:t xml:space="preserve">the </w:t>
      </w:r>
      <w:r w:rsidR="00034DC9">
        <w:t xml:space="preserve">income </w:t>
      </w:r>
      <w:r w:rsidR="00AD7F2A">
        <w:t>gaps</w:t>
      </w:r>
      <w:r w:rsidR="00413989">
        <w:t xml:space="preserve">, both in relative and </w:t>
      </w:r>
      <w:r w:rsidR="00034DC9">
        <w:t xml:space="preserve">in </w:t>
      </w:r>
      <w:r w:rsidR="00413989">
        <w:t>absolute terms</w:t>
      </w:r>
      <w:r w:rsidR="00347299">
        <w:t xml:space="preserve">.  </w:t>
      </w:r>
      <w:r w:rsidR="0059614A">
        <w:t>The 25</w:t>
      </w:r>
      <w:r w:rsidR="0059614A" w:rsidRPr="0059614A">
        <w:rPr>
          <w:vertAlign w:val="superscript"/>
        </w:rPr>
        <w:t>th</w:t>
      </w:r>
      <w:r w:rsidR="0059614A">
        <w:t xml:space="preserve"> percentile of total </w:t>
      </w:r>
      <w:r w:rsidR="00DC0817">
        <w:t>wealth</w:t>
      </w:r>
      <w:r w:rsidR="006A0878">
        <w:t xml:space="preserve"> for </w:t>
      </w:r>
      <w:r w:rsidR="00347299">
        <w:t xml:space="preserve">attendees </w:t>
      </w:r>
      <w:r w:rsidR="0059614A">
        <w:t xml:space="preserve">is </w:t>
      </w:r>
      <w:r w:rsidR="00347299">
        <w:t xml:space="preserve">$44,000 </w:t>
      </w:r>
      <w:r w:rsidR="006A25A8">
        <w:t>versus</w:t>
      </w:r>
      <w:r w:rsidR="0059614A">
        <w:t xml:space="preserve"> </w:t>
      </w:r>
      <w:r w:rsidR="00347299">
        <w:lastRenderedPageBreak/>
        <w:t>$5,000</w:t>
      </w:r>
      <w:r w:rsidR="00987366">
        <w:t xml:space="preserve"> for non-attendees, with similarly striking </w:t>
      </w:r>
      <w:r w:rsidR="0059614A">
        <w:t>gap</w:t>
      </w:r>
      <w:r w:rsidR="00987366">
        <w:t>s</w:t>
      </w:r>
      <w:r w:rsidR="0059614A">
        <w:t xml:space="preserve"> a</w:t>
      </w:r>
      <w:r w:rsidR="00347299">
        <w:t xml:space="preserve">t </w:t>
      </w:r>
      <w:r w:rsidR="0059614A">
        <w:t>the median ($135,000 versus $47,000) and the</w:t>
      </w:r>
      <w:r w:rsidR="00347299">
        <w:t xml:space="preserve"> 75</w:t>
      </w:r>
      <w:r w:rsidR="00347299" w:rsidRPr="00347299">
        <w:rPr>
          <w:vertAlign w:val="superscript"/>
        </w:rPr>
        <w:t>th</w:t>
      </w:r>
      <w:r w:rsidR="00347299">
        <w:t xml:space="preserve"> percentile</w:t>
      </w:r>
      <w:r w:rsidR="0059614A">
        <w:t xml:space="preserve"> (</w:t>
      </w:r>
      <w:r w:rsidR="00347299">
        <w:t>$31</w:t>
      </w:r>
      <w:r w:rsidR="00727353">
        <w:t>3</w:t>
      </w:r>
      <w:r w:rsidR="00347299">
        <w:t>,000 versus $129,000</w:t>
      </w:r>
      <w:r w:rsidR="0059614A">
        <w:t>).</w:t>
      </w:r>
    </w:p>
    <w:p w:rsidR="0016740D" w:rsidRDefault="007714E3" w:rsidP="0087220D">
      <w:pPr>
        <w:spacing w:line="480" w:lineRule="auto"/>
        <w:ind w:firstLine="720"/>
      </w:pPr>
      <w:r w:rsidRPr="007714E3">
        <w:t xml:space="preserve">In Figure 1 we </w:t>
      </w:r>
      <w:r w:rsidR="0039465D">
        <w:t xml:space="preserve">examine how </w:t>
      </w:r>
      <w:r w:rsidRPr="007714E3">
        <w:t xml:space="preserve">the relationship between attending college and </w:t>
      </w:r>
      <w:r w:rsidR="003B057B">
        <w:t>financial resources</w:t>
      </w:r>
      <w:r w:rsidRPr="007714E3">
        <w:t xml:space="preserve"> varies over the entire income </w:t>
      </w:r>
      <w:r>
        <w:t>(</w:t>
      </w:r>
      <w:r w:rsidR="007A5B03">
        <w:t>p</w:t>
      </w:r>
      <w:r>
        <w:t xml:space="preserve">anel A) </w:t>
      </w:r>
      <w:r w:rsidRPr="007714E3">
        <w:t xml:space="preserve">and </w:t>
      </w:r>
      <w:r w:rsidR="00DC0817">
        <w:t>wealth</w:t>
      </w:r>
      <w:r>
        <w:t xml:space="preserve"> (</w:t>
      </w:r>
      <w:r w:rsidR="007A5B03">
        <w:t>p</w:t>
      </w:r>
      <w:r>
        <w:t>anel B)</w:t>
      </w:r>
      <w:r w:rsidRPr="007714E3">
        <w:t xml:space="preserve"> distribution</w:t>
      </w:r>
      <w:r>
        <w:t>s</w:t>
      </w:r>
      <w:r w:rsidRPr="007714E3">
        <w:t>.</w:t>
      </w:r>
      <w:r w:rsidR="00387E1A">
        <w:t xml:space="preserve">  Each panel plots </w:t>
      </w:r>
      <w:r w:rsidR="006A0878">
        <w:t xml:space="preserve">the </w:t>
      </w:r>
      <w:r w:rsidR="00387E1A">
        <w:t xml:space="preserve">relationship between </w:t>
      </w:r>
      <w:r w:rsidR="006A0878">
        <w:t>college attendance</w:t>
      </w:r>
      <w:r w:rsidR="00387E1A">
        <w:t xml:space="preserve"> and the financial resource measure using a </w:t>
      </w:r>
      <w:r w:rsidR="00987366">
        <w:t>local</w:t>
      </w:r>
      <w:r w:rsidR="00387E1A">
        <w:t xml:space="preserve"> regression in order to </w:t>
      </w:r>
      <w:r w:rsidR="00034DC9">
        <w:t>demonstrate</w:t>
      </w:r>
      <w:r w:rsidR="006A25A8">
        <w:t xml:space="preserve"> in a flexible manner</w:t>
      </w:r>
      <w:r w:rsidR="00387E1A">
        <w:t xml:space="preserve"> </w:t>
      </w:r>
      <w:r w:rsidR="00034DC9">
        <w:t xml:space="preserve">how </w:t>
      </w:r>
      <w:r w:rsidR="00387E1A">
        <w:t xml:space="preserve">attendance varies over the entire </w:t>
      </w:r>
      <w:r w:rsidR="00034DC9">
        <w:t xml:space="preserve">income or </w:t>
      </w:r>
      <w:r w:rsidR="00DC0817">
        <w:t>wealth</w:t>
      </w:r>
      <w:r w:rsidR="00034DC9">
        <w:t xml:space="preserve"> </w:t>
      </w:r>
      <w:r w:rsidR="00387E1A">
        <w:t>distribution</w:t>
      </w:r>
      <w:r w:rsidR="00177F49">
        <w:t xml:space="preserve"> (labeled “Local”)</w:t>
      </w:r>
      <w:r w:rsidRPr="007714E3">
        <w:t>.</w:t>
      </w:r>
      <w:r w:rsidR="00D71F5C">
        <w:rPr>
          <w:rStyle w:val="FootnoteReference"/>
        </w:rPr>
        <w:footnoteReference w:id="12"/>
      </w:r>
      <w:r w:rsidRPr="007714E3">
        <w:t xml:space="preserve">  </w:t>
      </w:r>
      <w:r w:rsidR="001C0311">
        <w:t>In addition, b</w:t>
      </w:r>
      <w:r w:rsidR="001C0311" w:rsidRPr="001C0311">
        <w:t xml:space="preserve">ecause income and </w:t>
      </w:r>
      <w:r w:rsidR="00DC0817">
        <w:t>wealth</w:t>
      </w:r>
      <w:r w:rsidR="001C0311" w:rsidRPr="001C0311">
        <w:t xml:space="preserve"> are correlated with each other and with </w:t>
      </w:r>
      <w:r w:rsidR="00E974D5">
        <w:t>the</w:t>
      </w:r>
      <w:r w:rsidR="001C0311">
        <w:t xml:space="preserve"> </w:t>
      </w:r>
      <w:r w:rsidR="001C0311" w:rsidRPr="001C0311">
        <w:t xml:space="preserve">other observable characteristics </w:t>
      </w:r>
      <w:r w:rsidR="00E974D5">
        <w:t>shown in Table 1</w:t>
      </w:r>
      <w:r w:rsidR="001C0311">
        <w:t>,</w:t>
      </w:r>
      <w:r w:rsidR="001C0311" w:rsidRPr="001C0311">
        <w:t xml:space="preserve"> we </w:t>
      </w:r>
      <w:r w:rsidR="001C0311">
        <w:t xml:space="preserve">show </w:t>
      </w:r>
      <w:r w:rsidR="002105A6">
        <w:t xml:space="preserve">these attendance/financial resource relationships </w:t>
      </w:r>
      <w:r w:rsidR="00832987">
        <w:t xml:space="preserve">based on </w:t>
      </w:r>
      <w:r w:rsidR="00177F49">
        <w:t xml:space="preserve">a </w:t>
      </w:r>
      <w:r w:rsidR="00C43347">
        <w:t xml:space="preserve">logistic </w:t>
      </w:r>
      <w:r w:rsidR="00177F49">
        <w:t xml:space="preserve">parametric model that jointly controls for both measures of financial resources entered as a </w:t>
      </w:r>
      <w:proofErr w:type="spellStart"/>
      <w:r w:rsidR="00177F49">
        <w:t>quartic</w:t>
      </w:r>
      <w:proofErr w:type="spellEnd"/>
      <w:r w:rsidR="00034DC9">
        <w:t xml:space="preserve">. We do so with </w:t>
      </w:r>
      <w:r w:rsidR="006A25A8">
        <w:t>each</w:t>
      </w:r>
      <w:r w:rsidR="0077250E">
        <w:t xml:space="preserve"> </w:t>
      </w:r>
      <w:r w:rsidR="00034DC9">
        <w:t xml:space="preserve">financial </w:t>
      </w:r>
      <w:r w:rsidR="006A25A8">
        <w:t>measure alone</w:t>
      </w:r>
      <w:r w:rsidR="00034DC9">
        <w:t xml:space="preserve"> (“</w:t>
      </w:r>
      <w:proofErr w:type="spellStart"/>
      <w:r w:rsidR="00034DC9">
        <w:t>Quartic</w:t>
      </w:r>
      <w:proofErr w:type="spellEnd"/>
      <w:r w:rsidR="00034DC9">
        <w:t>”) a</w:t>
      </w:r>
      <w:r w:rsidR="006A25A8">
        <w:t xml:space="preserve">s well as in conjunction with </w:t>
      </w:r>
      <w:r w:rsidR="009065E6">
        <w:t xml:space="preserve">the </w:t>
      </w:r>
      <w:r w:rsidR="0077250E">
        <w:t>other</w:t>
      </w:r>
      <w:r w:rsidR="009065E6">
        <w:t xml:space="preserve"> financial measure and</w:t>
      </w:r>
      <w:r w:rsidR="0077250E">
        <w:t xml:space="preserve"> observ</w:t>
      </w:r>
      <w:r w:rsidR="009065E6">
        <w:t xml:space="preserve">able characteristics </w:t>
      </w:r>
      <w:r w:rsidR="00177F49">
        <w:t>(labeled “</w:t>
      </w:r>
      <w:proofErr w:type="spellStart"/>
      <w:r w:rsidR="00177F49">
        <w:t>Quartic</w:t>
      </w:r>
      <w:proofErr w:type="spellEnd"/>
      <w:r w:rsidR="00177F49">
        <w:t xml:space="preserve"> with X’s”)</w:t>
      </w:r>
      <w:r w:rsidR="00832987">
        <w:t>.</w:t>
      </w:r>
      <w:r w:rsidR="00153DC5">
        <w:rPr>
          <w:rStyle w:val="FootnoteReference"/>
        </w:rPr>
        <w:footnoteReference w:id="13"/>
      </w:r>
      <w:r w:rsidR="00832987">
        <w:t xml:space="preserve">  </w:t>
      </w:r>
      <w:r w:rsidRPr="007714E3">
        <w:t>We draw vertical lines at the 10</w:t>
      </w:r>
      <w:r w:rsidRPr="007714E3">
        <w:rPr>
          <w:vertAlign w:val="superscript"/>
        </w:rPr>
        <w:t>th</w:t>
      </w:r>
      <w:r w:rsidRPr="007714E3">
        <w:t>, 25</w:t>
      </w:r>
      <w:r w:rsidRPr="007714E3">
        <w:rPr>
          <w:vertAlign w:val="superscript"/>
        </w:rPr>
        <w:t>th</w:t>
      </w:r>
      <w:r w:rsidRPr="007714E3">
        <w:t>, 50</w:t>
      </w:r>
      <w:r w:rsidRPr="007714E3">
        <w:rPr>
          <w:vertAlign w:val="superscript"/>
        </w:rPr>
        <w:t>th</w:t>
      </w:r>
      <w:r w:rsidRPr="007714E3">
        <w:t>, 75</w:t>
      </w:r>
      <w:r w:rsidRPr="007714E3">
        <w:rPr>
          <w:vertAlign w:val="superscript"/>
        </w:rPr>
        <w:t>th</w:t>
      </w:r>
      <w:r w:rsidRPr="007714E3">
        <w:t>, and 90</w:t>
      </w:r>
      <w:r w:rsidRPr="007714E3">
        <w:rPr>
          <w:vertAlign w:val="superscript"/>
        </w:rPr>
        <w:t>th</w:t>
      </w:r>
      <w:r w:rsidRPr="007714E3">
        <w:t xml:space="preserve"> percentiles</w:t>
      </w:r>
      <w:r w:rsidR="00044D4D">
        <w:t xml:space="preserve"> to focus our discussion</w:t>
      </w:r>
      <w:r w:rsidR="00034DC9">
        <w:t>.</w:t>
      </w:r>
      <w:r w:rsidR="00034DC9">
        <w:rPr>
          <w:rStyle w:val="FootnoteReference"/>
        </w:rPr>
        <w:footnoteReference w:id="14"/>
      </w:r>
      <w:r w:rsidR="00034DC9">
        <w:t xml:space="preserve"> </w:t>
      </w:r>
    </w:p>
    <w:p w:rsidR="007714E3" w:rsidRPr="007714E3" w:rsidRDefault="0084134A" w:rsidP="007714E3">
      <w:pPr>
        <w:spacing w:line="480" w:lineRule="auto"/>
        <w:ind w:firstLine="720"/>
      </w:pPr>
      <w:r>
        <w:t>As p</w:t>
      </w:r>
      <w:r w:rsidR="00387E1A">
        <w:t>anel A</w:t>
      </w:r>
      <w:r w:rsidR="00741FE7">
        <w:t xml:space="preserve"> </w:t>
      </w:r>
      <w:r w:rsidR="00387E1A">
        <w:t>demonstrates</w:t>
      </w:r>
      <w:r>
        <w:t>,</w:t>
      </w:r>
      <w:r w:rsidR="00387E1A">
        <w:t xml:space="preserve"> there</w:t>
      </w:r>
      <w:r w:rsidR="007714E3" w:rsidRPr="007714E3">
        <w:t xml:space="preserve"> is a strong and </w:t>
      </w:r>
      <w:r w:rsidR="00AE5083">
        <w:t>nearly</w:t>
      </w:r>
      <w:r w:rsidR="007714E3" w:rsidRPr="007714E3">
        <w:t xml:space="preserve"> </w:t>
      </w:r>
      <w:r w:rsidR="00960897">
        <w:t>linear</w:t>
      </w:r>
      <w:r w:rsidR="007714E3" w:rsidRPr="007714E3">
        <w:t xml:space="preserve"> relationship between income and college attendance from the 10</w:t>
      </w:r>
      <w:r w:rsidR="007714E3" w:rsidRPr="007714E3">
        <w:rPr>
          <w:vertAlign w:val="superscript"/>
        </w:rPr>
        <w:t>th</w:t>
      </w:r>
      <w:r w:rsidR="007714E3" w:rsidRPr="007714E3">
        <w:t xml:space="preserve"> percentile</w:t>
      </w:r>
      <w:r w:rsidR="002C1215">
        <w:t xml:space="preserve"> of income</w:t>
      </w:r>
      <w:r w:rsidR="007714E3" w:rsidRPr="007714E3">
        <w:t xml:space="preserve"> </w:t>
      </w:r>
      <w:r w:rsidR="00D207E6">
        <w:t>up</w:t>
      </w:r>
      <w:r w:rsidR="00960529">
        <w:t xml:space="preserve"> </w:t>
      </w:r>
      <w:r w:rsidR="007714E3" w:rsidRPr="007714E3">
        <w:t>through the 90</w:t>
      </w:r>
      <w:r w:rsidR="007714E3" w:rsidRPr="007714E3">
        <w:rPr>
          <w:vertAlign w:val="superscript"/>
        </w:rPr>
        <w:t>th</w:t>
      </w:r>
      <w:r w:rsidR="007714E3" w:rsidRPr="007714E3">
        <w:t xml:space="preserve"> percentile</w:t>
      </w:r>
      <w:r w:rsidR="00F520EE">
        <w:t xml:space="preserve"> based on the local</w:t>
      </w:r>
      <w:r w:rsidR="006E7E10">
        <w:t xml:space="preserve"> regression</w:t>
      </w:r>
      <w:r w:rsidR="00BF7442">
        <w:t xml:space="preserve"> </w:t>
      </w:r>
      <w:r w:rsidR="00787370">
        <w:t>(dotted line)</w:t>
      </w:r>
      <w:r w:rsidR="007714E3" w:rsidRPr="007714E3">
        <w:t xml:space="preserve">. For example, the </w:t>
      </w:r>
      <w:r>
        <w:t xml:space="preserve">rate of </w:t>
      </w:r>
      <w:r w:rsidR="007714E3" w:rsidRPr="007714E3">
        <w:t xml:space="preserve">college </w:t>
      </w:r>
      <w:r>
        <w:t>enrollment increases from 0</w:t>
      </w:r>
      <w:r w:rsidR="007714E3" w:rsidRPr="007714E3">
        <w:t xml:space="preserve">.31 to </w:t>
      </w:r>
      <w:r>
        <w:t>0</w:t>
      </w:r>
      <w:r w:rsidR="007714E3" w:rsidRPr="007714E3">
        <w:t xml:space="preserve">.39 </w:t>
      </w:r>
      <w:r>
        <w:t xml:space="preserve">when </w:t>
      </w:r>
      <w:r w:rsidR="007714E3" w:rsidRPr="007714E3">
        <w:t>moving from the 10</w:t>
      </w:r>
      <w:r w:rsidR="007714E3" w:rsidRPr="007714E3">
        <w:rPr>
          <w:vertAlign w:val="superscript"/>
        </w:rPr>
        <w:t>th</w:t>
      </w:r>
      <w:r w:rsidR="007714E3" w:rsidRPr="007714E3">
        <w:t xml:space="preserve"> to the 25</w:t>
      </w:r>
      <w:r w:rsidR="007714E3" w:rsidRPr="007714E3">
        <w:rPr>
          <w:vertAlign w:val="superscript"/>
        </w:rPr>
        <w:t>th</w:t>
      </w:r>
      <w:r w:rsidR="007714E3" w:rsidRPr="007714E3">
        <w:t xml:space="preserve"> percentile</w:t>
      </w:r>
      <w:r>
        <w:t xml:space="preserve"> of the income distribution</w:t>
      </w:r>
      <w:r w:rsidR="00BF7442">
        <w:t xml:space="preserve"> (from $21,300 to $41,700) </w:t>
      </w:r>
      <w:r w:rsidR="007714E3" w:rsidRPr="007714E3">
        <w:t xml:space="preserve">and from </w:t>
      </w:r>
      <w:r>
        <w:t>0</w:t>
      </w:r>
      <w:r w:rsidR="007714E3" w:rsidRPr="007714E3">
        <w:t xml:space="preserve">.63 to </w:t>
      </w:r>
      <w:r>
        <w:t>0</w:t>
      </w:r>
      <w:r w:rsidR="007714E3" w:rsidRPr="007714E3">
        <w:t xml:space="preserve">.78 </w:t>
      </w:r>
      <w:r>
        <w:t xml:space="preserve">when </w:t>
      </w:r>
      <w:r w:rsidR="007714E3" w:rsidRPr="007714E3">
        <w:t>moving from the 75</w:t>
      </w:r>
      <w:r w:rsidR="007714E3" w:rsidRPr="007714E3">
        <w:rPr>
          <w:vertAlign w:val="superscript"/>
        </w:rPr>
        <w:t>th</w:t>
      </w:r>
      <w:r w:rsidR="007714E3" w:rsidRPr="007714E3">
        <w:t xml:space="preserve"> to the 90</w:t>
      </w:r>
      <w:r w:rsidR="007714E3" w:rsidRPr="007714E3">
        <w:rPr>
          <w:vertAlign w:val="superscript"/>
        </w:rPr>
        <w:t>th</w:t>
      </w:r>
      <w:r w:rsidR="007714E3" w:rsidRPr="007714E3">
        <w:t xml:space="preserve"> percentile</w:t>
      </w:r>
      <w:r w:rsidR="00BF7442">
        <w:t xml:space="preserve"> (from $109,200 to $155,500)</w:t>
      </w:r>
      <w:r>
        <w:t xml:space="preserve">. </w:t>
      </w:r>
      <w:r w:rsidR="00B01218">
        <w:t>Thus</w:t>
      </w:r>
      <w:r w:rsidR="00BF7442">
        <w:t>,</w:t>
      </w:r>
      <w:r w:rsidR="007714E3" w:rsidRPr="007714E3">
        <w:t xml:space="preserve"> </w:t>
      </w:r>
      <w:r w:rsidR="00503CF4">
        <w:t>we estimate that</w:t>
      </w:r>
      <w:r w:rsidR="007714E3" w:rsidRPr="007714E3">
        <w:t xml:space="preserve"> each additional $10</w:t>
      </w:r>
      <w:r w:rsidR="00503CF4">
        <w:t>,000</w:t>
      </w:r>
      <w:r w:rsidR="007714E3" w:rsidRPr="007714E3">
        <w:t xml:space="preserve"> in income between </w:t>
      </w:r>
      <w:r w:rsidR="007714E3" w:rsidRPr="007714E3">
        <w:lastRenderedPageBreak/>
        <w:t>the 10</w:t>
      </w:r>
      <w:r w:rsidR="007714E3" w:rsidRPr="007714E3">
        <w:rPr>
          <w:vertAlign w:val="superscript"/>
        </w:rPr>
        <w:t>th</w:t>
      </w:r>
      <w:r w:rsidR="007714E3" w:rsidRPr="007714E3">
        <w:t xml:space="preserve"> and 25</w:t>
      </w:r>
      <w:r w:rsidR="007714E3" w:rsidRPr="007714E3">
        <w:rPr>
          <w:vertAlign w:val="superscript"/>
        </w:rPr>
        <w:t>th</w:t>
      </w:r>
      <w:r w:rsidR="007714E3" w:rsidRPr="007714E3">
        <w:t xml:space="preserve"> percentile</w:t>
      </w:r>
      <w:r>
        <w:t>s</w:t>
      </w:r>
      <w:r w:rsidR="007714E3" w:rsidRPr="007714E3">
        <w:t xml:space="preserve"> </w:t>
      </w:r>
      <w:r w:rsidR="00B01218">
        <w:t>is associated with</w:t>
      </w:r>
      <w:r w:rsidR="007714E3" w:rsidRPr="007714E3">
        <w:t xml:space="preserve"> an increase in college attendance of 4.</w:t>
      </w:r>
      <w:r w:rsidR="00931DBE">
        <w:t>3</w:t>
      </w:r>
      <w:r w:rsidR="007714E3" w:rsidRPr="007714E3">
        <w:t xml:space="preserve"> percentage points</w:t>
      </w:r>
      <w:r>
        <w:t>, while each</w:t>
      </w:r>
      <w:r w:rsidR="007714E3" w:rsidRPr="007714E3">
        <w:t xml:space="preserve"> additional $10</w:t>
      </w:r>
      <w:r w:rsidR="00503CF4">
        <w:t>,000</w:t>
      </w:r>
      <w:r w:rsidR="007714E3" w:rsidRPr="007714E3">
        <w:t xml:space="preserve"> in income between the 75</w:t>
      </w:r>
      <w:r w:rsidR="007714E3" w:rsidRPr="007714E3">
        <w:rPr>
          <w:vertAlign w:val="superscript"/>
        </w:rPr>
        <w:t>th</w:t>
      </w:r>
      <w:r w:rsidR="007714E3" w:rsidRPr="007714E3">
        <w:t xml:space="preserve"> and 90</w:t>
      </w:r>
      <w:r w:rsidR="007714E3" w:rsidRPr="007714E3">
        <w:rPr>
          <w:vertAlign w:val="superscript"/>
        </w:rPr>
        <w:t>th</w:t>
      </w:r>
      <w:r w:rsidR="007714E3" w:rsidRPr="007714E3">
        <w:t xml:space="preserve"> percentile</w:t>
      </w:r>
      <w:r>
        <w:t>s</w:t>
      </w:r>
      <w:r w:rsidR="007714E3" w:rsidRPr="007714E3">
        <w:t xml:space="preserve"> </w:t>
      </w:r>
      <w:r w:rsidR="00B01218">
        <w:t xml:space="preserve">is associated with </w:t>
      </w:r>
      <w:r w:rsidR="007714E3" w:rsidRPr="007714E3">
        <w:t xml:space="preserve">an increase in college attendance of 3.3 percentage points.  </w:t>
      </w:r>
      <w:r w:rsidR="00B01218">
        <w:t xml:space="preserve">These effects are </w:t>
      </w:r>
      <w:r w:rsidR="007A5B03">
        <w:t>surprising</w:t>
      </w:r>
      <w:r w:rsidR="00B01218">
        <w:t xml:space="preserve">ly similar given the enormous differences in </w:t>
      </w:r>
      <w:r w:rsidR="005C2910">
        <w:t>the relevant income levels</w:t>
      </w:r>
      <w:r w:rsidR="00B01218">
        <w:t xml:space="preserve">. </w:t>
      </w:r>
    </w:p>
    <w:p w:rsidR="00025B75" w:rsidRPr="007714E3" w:rsidRDefault="007714E3" w:rsidP="00025B75">
      <w:pPr>
        <w:spacing w:line="480" w:lineRule="auto"/>
        <w:ind w:firstLine="720"/>
      </w:pPr>
      <w:r w:rsidRPr="007714E3">
        <w:t xml:space="preserve">The relationship between college attendance and </w:t>
      </w:r>
      <w:r w:rsidR="00DC0817">
        <w:t>wealth</w:t>
      </w:r>
      <w:r w:rsidRPr="007714E3">
        <w:t xml:space="preserve">, shown in </w:t>
      </w:r>
      <w:r w:rsidR="00787370">
        <w:t>p</w:t>
      </w:r>
      <w:r w:rsidR="00092E0C">
        <w:t>anel B</w:t>
      </w:r>
      <w:r w:rsidRPr="007714E3">
        <w:t xml:space="preserve">, </w:t>
      </w:r>
      <w:r w:rsidR="00304EFA">
        <w:t>also shows a strong positive relationship</w:t>
      </w:r>
      <w:r w:rsidR="00BF7442">
        <w:t xml:space="preserve">, although one that flattens sooner </w:t>
      </w:r>
      <w:r w:rsidR="002C1215">
        <w:t xml:space="preserve">than the </w:t>
      </w:r>
      <w:r w:rsidR="00BF7442">
        <w:t xml:space="preserve">attendance/income relationship. </w:t>
      </w:r>
      <w:r w:rsidR="00025B75">
        <w:t>For example,</w:t>
      </w:r>
      <w:r w:rsidRPr="007714E3">
        <w:t xml:space="preserve"> </w:t>
      </w:r>
      <w:r w:rsidR="00025B75" w:rsidRPr="007714E3">
        <w:t>each additional $10</w:t>
      </w:r>
      <w:r w:rsidR="00503CF4">
        <w:t>,000</w:t>
      </w:r>
      <w:r w:rsidR="00025B75" w:rsidRPr="007714E3">
        <w:t xml:space="preserve"> in </w:t>
      </w:r>
      <w:r w:rsidR="00DC0817">
        <w:t>wealth</w:t>
      </w:r>
      <w:r w:rsidR="00025B75" w:rsidRPr="007714E3">
        <w:t xml:space="preserve"> between the 10</w:t>
      </w:r>
      <w:r w:rsidR="00025B75" w:rsidRPr="007714E3">
        <w:rPr>
          <w:vertAlign w:val="superscript"/>
        </w:rPr>
        <w:t>th</w:t>
      </w:r>
      <w:r w:rsidR="00025B75" w:rsidRPr="007714E3">
        <w:t xml:space="preserve"> and 25</w:t>
      </w:r>
      <w:r w:rsidR="00025B75" w:rsidRPr="007714E3">
        <w:rPr>
          <w:vertAlign w:val="superscript"/>
        </w:rPr>
        <w:t>th</w:t>
      </w:r>
      <w:r w:rsidR="00025B75" w:rsidRPr="007714E3">
        <w:t xml:space="preserve"> percentile</w:t>
      </w:r>
      <w:r w:rsidR="0024611F">
        <w:t>s</w:t>
      </w:r>
      <w:r w:rsidR="00025B75" w:rsidRPr="007714E3">
        <w:t xml:space="preserve"> </w:t>
      </w:r>
      <w:r w:rsidR="00503CF4">
        <w:t>is associated with</w:t>
      </w:r>
      <w:r w:rsidR="00025B75" w:rsidRPr="007714E3">
        <w:t xml:space="preserve"> an increase in college attendance of </w:t>
      </w:r>
      <w:r w:rsidR="00613D18">
        <w:t>3.0</w:t>
      </w:r>
      <w:r w:rsidR="00025B75" w:rsidRPr="007714E3">
        <w:t xml:space="preserve"> percentage points, whereas $10</w:t>
      </w:r>
      <w:r w:rsidR="00503CF4">
        <w:t>,000</w:t>
      </w:r>
      <w:r w:rsidR="00025B75" w:rsidRPr="007714E3">
        <w:t xml:space="preserve"> in </w:t>
      </w:r>
      <w:r w:rsidR="00DC0817">
        <w:t>wealth</w:t>
      </w:r>
      <w:r w:rsidR="00025B75" w:rsidRPr="007714E3">
        <w:t xml:space="preserve"> between the </w:t>
      </w:r>
      <w:r w:rsidR="0024611F">
        <w:t>50</w:t>
      </w:r>
      <w:r w:rsidR="00025B75" w:rsidRPr="007714E3">
        <w:rPr>
          <w:vertAlign w:val="superscript"/>
        </w:rPr>
        <w:t>th</w:t>
      </w:r>
      <w:r w:rsidR="00025B75" w:rsidRPr="007714E3">
        <w:t xml:space="preserve"> and </w:t>
      </w:r>
      <w:r w:rsidR="0024611F">
        <w:t>75</w:t>
      </w:r>
      <w:r w:rsidR="00025B75" w:rsidRPr="007714E3">
        <w:rPr>
          <w:vertAlign w:val="superscript"/>
        </w:rPr>
        <w:t>th</w:t>
      </w:r>
      <w:r w:rsidR="00025B75" w:rsidRPr="007714E3">
        <w:t xml:space="preserve"> percentile</w:t>
      </w:r>
      <w:r w:rsidR="0024611F">
        <w:t>s</w:t>
      </w:r>
      <w:r w:rsidR="00025B75" w:rsidRPr="007714E3">
        <w:t xml:space="preserve"> </w:t>
      </w:r>
      <w:r w:rsidR="00503CF4">
        <w:t xml:space="preserve">is associated with an increase of just 1.3 </w:t>
      </w:r>
      <w:r w:rsidR="00025B75" w:rsidRPr="007714E3">
        <w:t>percentage points</w:t>
      </w:r>
      <w:r w:rsidR="000C4337">
        <w:t>; the total change in attendance between the 75</w:t>
      </w:r>
      <w:r w:rsidR="000C4337" w:rsidRPr="000C4337">
        <w:rPr>
          <w:vertAlign w:val="superscript"/>
        </w:rPr>
        <w:t>th</w:t>
      </w:r>
      <w:r w:rsidR="000C4337">
        <w:t xml:space="preserve"> and 90</w:t>
      </w:r>
      <w:r w:rsidR="000C4337" w:rsidRPr="000C4337">
        <w:rPr>
          <w:vertAlign w:val="superscript"/>
        </w:rPr>
        <w:t>th</w:t>
      </w:r>
      <w:r w:rsidR="000C4337">
        <w:t xml:space="preserve"> percentiles is statistically indistinguishable from zero</w:t>
      </w:r>
      <w:r w:rsidR="00025B75" w:rsidRPr="007714E3">
        <w:t xml:space="preserve">.  </w:t>
      </w:r>
    </w:p>
    <w:p w:rsidR="00BC58B3" w:rsidRDefault="001F31DD" w:rsidP="005B6C13">
      <w:pPr>
        <w:spacing w:line="480" w:lineRule="auto"/>
        <w:ind w:firstLine="720"/>
      </w:pPr>
      <w:r>
        <w:t>Turning to the parametri</w:t>
      </w:r>
      <w:r w:rsidR="00A1602D">
        <w:t xml:space="preserve">c specifications, it readily can be observed that the </w:t>
      </w:r>
      <w:proofErr w:type="spellStart"/>
      <w:r w:rsidR="00A1602D">
        <w:t>quartic</w:t>
      </w:r>
      <w:proofErr w:type="spellEnd"/>
      <w:r w:rsidR="00A1602D">
        <w:t xml:space="preserve"> specifications without controls </w:t>
      </w:r>
      <w:r w:rsidR="00DE5E69">
        <w:t xml:space="preserve">(solid line) </w:t>
      </w:r>
      <w:r w:rsidR="00A1602D">
        <w:t>match the non-para</w:t>
      </w:r>
      <w:r w:rsidR="00D40AEC">
        <w:t>metric local relationships</w:t>
      </w:r>
      <w:r w:rsidR="007D2E79">
        <w:t xml:space="preserve"> quite well, </w:t>
      </w:r>
      <w:r w:rsidR="00625C2A">
        <w:t>with</w:t>
      </w:r>
      <w:r w:rsidR="003E14E9">
        <w:t xml:space="preserve"> the parametric relationships </w:t>
      </w:r>
      <w:r w:rsidR="00625C2A">
        <w:t>being</w:t>
      </w:r>
      <w:r w:rsidR="003E14E9">
        <w:t xml:space="preserve"> smoother, as expected</w:t>
      </w:r>
      <w:r w:rsidR="00322EBE">
        <w:t xml:space="preserve">.  Thus, a </w:t>
      </w:r>
      <w:proofErr w:type="spellStart"/>
      <w:r w:rsidR="00322EBE">
        <w:t>quartic</w:t>
      </w:r>
      <w:proofErr w:type="spellEnd"/>
      <w:r w:rsidR="006A25A8">
        <w:t xml:space="preserve"> specification appears</w:t>
      </w:r>
      <w:r w:rsidR="00322EBE">
        <w:t xml:space="preserve"> </w:t>
      </w:r>
      <w:r w:rsidR="00C176BC">
        <w:t xml:space="preserve">to </w:t>
      </w:r>
      <w:r w:rsidR="006A25A8">
        <w:t xml:space="preserve">be quite successful in </w:t>
      </w:r>
      <w:r w:rsidR="00C176BC">
        <w:t>captur</w:t>
      </w:r>
      <w:r w:rsidR="006A25A8">
        <w:t>ing</w:t>
      </w:r>
      <w:r w:rsidR="00C176BC">
        <w:t xml:space="preserve"> the relationship between attendance and financial resources</w:t>
      </w:r>
      <w:r w:rsidR="007D2E79">
        <w:t>.</w:t>
      </w:r>
      <w:r w:rsidR="00BC58B3">
        <w:rPr>
          <w:rStyle w:val="FootnoteReference"/>
        </w:rPr>
        <w:footnoteReference w:id="15"/>
      </w:r>
      <w:r w:rsidR="007D2E79">
        <w:t xml:space="preserve">  </w:t>
      </w:r>
    </w:p>
    <w:p w:rsidR="00625E3C" w:rsidRDefault="00DD2F75" w:rsidP="005B6C13">
      <w:pPr>
        <w:spacing w:line="480" w:lineRule="auto"/>
        <w:ind w:firstLine="720"/>
      </w:pPr>
      <w:r>
        <w:t>T</w:t>
      </w:r>
      <w:r w:rsidR="003E03DC">
        <w:t xml:space="preserve">he </w:t>
      </w:r>
      <w:r>
        <w:t xml:space="preserve">parametric </w:t>
      </w:r>
      <w:r w:rsidR="003E03DC">
        <w:t xml:space="preserve">results that jointly control for </w:t>
      </w:r>
      <w:r w:rsidR="008E7B91">
        <w:t xml:space="preserve">income, </w:t>
      </w:r>
      <w:r w:rsidR="00DC0817">
        <w:t>wealth</w:t>
      </w:r>
      <w:r w:rsidR="008E7B91">
        <w:t xml:space="preserve">, and </w:t>
      </w:r>
      <w:r w:rsidR="003E03DC">
        <w:t xml:space="preserve">other observable </w:t>
      </w:r>
      <w:r w:rsidR="009815CA">
        <w:t>characteristics</w:t>
      </w:r>
      <w:r>
        <w:t xml:space="preserve"> </w:t>
      </w:r>
      <w:r w:rsidR="00F34CAF">
        <w:t xml:space="preserve">(dashed line) </w:t>
      </w:r>
      <w:r>
        <w:t xml:space="preserve">demonstrate that the broad relationships we have stressed thus far continue to hold, although </w:t>
      </w:r>
      <w:r w:rsidR="001017DD">
        <w:t xml:space="preserve">the income relationship is </w:t>
      </w:r>
      <w:r w:rsidR="001321A1">
        <w:t>dampened</w:t>
      </w:r>
      <w:r w:rsidR="001017DD">
        <w:t xml:space="preserve"> substantially</w:t>
      </w:r>
      <w:r w:rsidR="008B5866">
        <w:t>.</w:t>
      </w:r>
      <w:r w:rsidR="00447FB7">
        <w:t xml:space="preserve">  Th</w:t>
      </w:r>
      <w:r w:rsidR="00417F7A">
        <w:t xml:space="preserve">e </w:t>
      </w:r>
      <w:r w:rsidR="00447FB7">
        <w:t>finding that the income relationship is dampe</w:t>
      </w:r>
      <w:r w:rsidR="001E3088">
        <w:t>ne</w:t>
      </w:r>
      <w:r w:rsidR="00447FB7">
        <w:t xml:space="preserve">d reflects the fact that income and </w:t>
      </w:r>
      <w:r w:rsidR="00DC0817">
        <w:t>wealth</w:t>
      </w:r>
      <w:r w:rsidR="00447FB7">
        <w:t xml:space="preserve"> are correlated, as </w:t>
      </w:r>
      <w:r w:rsidR="00447FB7">
        <w:lastRenderedPageBreak/>
        <w:t xml:space="preserve">expected.  Despite </w:t>
      </w:r>
      <w:r w:rsidR="00DC0817">
        <w:t>th</w:t>
      </w:r>
      <w:r w:rsidR="00447FB7">
        <w:t>is, both measures remain predictive of college attendance, implying that they each contain some independent information about the role of financial resources.</w:t>
      </w:r>
    </w:p>
    <w:p w:rsidR="009E1EF0" w:rsidRDefault="002015F7" w:rsidP="00741FE7">
      <w:pPr>
        <w:spacing w:line="480" w:lineRule="auto"/>
        <w:ind w:firstLine="720"/>
      </w:pPr>
      <w:proofErr w:type="gramStart"/>
      <w:r>
        <w:rPr>
          <w:i/>
        </w:rPr>
        <w:t>Attendance versus Completi</w:t>
      </w:r>
      <w:r w:rsidR="00B63265">
        <w:rPr>
          <w:i/>
        </w:rPr>
        <w:t>n</w:t>
      </w:r>
      <w:r w:rsidR="00C46F64">
        <w:rPr>
          <w:i/>
        </w:rPr>
        <w:t xml:space="preserve">g </w:t>
      </w:r>
      <w:r w:rsidR="004A5CD2">
        <w:rPr>
          <w:i/>
        </w:rPr>
        <w:t>Four</w:t>
      </w:r>
      <w:r w:rsidR="00C46F64">
        <w:rPr>
          <w:i/>
        </w:rPr>
        <w:t xml:space="preserve"> Years</w:t>
      </w:r>
      <w:r w:rsidR="002B2D3E">
        <w:t>.</w:t>
      </w:r>
      <w:proofErr w:type="gramEnd"/>
      <w:r w:rsidR="002B2D3E">
        <w:t xml:space="preserve"> </w:t>
      </w:r>
      <w:r w:rsidR="006B6AAB">
        <w:t>To examine</w:t>
      </w:r>
      <w:r w:rsidR="00FC2694">
        <w:t xml:space="preserve"> whether the effects of income and </w:t>
      </w:r>
      <w:r w:rsidR="00DC0817">
        <w:t>wealth</w:t>
      </w:r>
      <w:r w:rsidR="00FC2694">
        <w:t xml:space="preserve"> </w:t>
      </w:r>
      <w:r w:rsidR="00061961">
        <w:t>extend</w:t>
      </w:r>
      <w:r w:rsidR="00FC2694">
        <w:t xml:space="preserve"> beyond the</w:t>
      </w:r>
      <w:r w:rsidR="007C5E0A">
        <w:t xml:space="preserve"> decision to attend college, </w:t>
      </w:r>
      <w:r w:rsidR="00FC2694">
        <w:t>we next examine their relationship</w:t>
      </w:r>
      <w:r w:rsidR="002C1215">
        <w:t>s</w:t>
      </w:r>
      <w:r w:rsidR="00FC2694">
        <w:t xml:space="preserve"> with complet</w:t>
      </w:r>
      <w:r w:rsidR="00CE196B">
        <w:t>ing</w:t>
      </w:r>
      <w:r w:rsidR="00FC2694">
        <w:t xml:space="preserve"> four years of college.  </w:t>
      </w:r>
      <w:r w:rsidR="00787370">
        <w:t>To do so</w:t>
      </w:r>
      <w:r w:rsidR="000551EE">
        <w:t>,</w:t>
      </w:r>
      <w:r w:rsidR="00787370">
        <w:t xml:space="preserve"> we limit our sample to </w:t>
      </w:r>
      <w:r w:rsidR="002C69CC" w:rsidRPr="002C69CC">
        <w:t>young adults who w</w:t>
      </w:r>
      <w:r w:rsidR="008E66AF">
        <w:t>ere</w:t>
      </w:r>
      <w:r w:rsidR="002C69CC" w:rsidRPr="002C69CC">
        <w:t xml:space="preserve"> at least 25 years old </w:t>
      </w:r>
      <w:r w:rsidR="000551EE">
        <w:t xml:space="preserve">(an age at which most people have completed their education) in the final year of our data. </w:t>
      </w:r>
      <w:r w:rsidR="005B6C13">
        <w:t xml:space="preserve">We </w:t>
      </w:r>
      <w:r w:rsidR="00776067">
        <w:t>then</w:t>
      </w:r>
      <w:r w:rsidR="000551EE">
        <w:t xml:space="preserve"> </w:t>
      </w:r>
      <w:r w:rsidR="009E1EF0">
        <w:t xml:space="preserve">examine separately those individuals who </w:t>
      </w:r>
      <w:r w:rsidR="00776067">
        <w:t>were enrolled</w:t>
      </w:r>
      <w:r w:rsidR="0010388C">
        <w:t xml:space="preserve"> in college</w:t>
      </w:r>
      <w:r w:rsidR="00776067">
        <w:t xml:space="preserve"> at ages 19/20 and completed at least four years of college (although not necessarily with a bachelor’s degree)</w:t>
      </w:r>
      <w:r w:rsidR="009E1EF0">
        <w:t xml:space="preserve"> versus those </w:t>
      </w:r>
      <w:r w:rsidR="000551EE">
        <w:t>individuals who were enrolled at ages 19/20 and completed less than four years of college</w:t>
      </w:r>
      <w:r w:rsidR="005971C0">
        <w:t>.</w:t>
      </w:r>
      <w:r w:rsidR="007448A5">
        <w:rPr>
          <w:rStyle w:val="FootnoteReference"/>
        </w:rPr>
        <w:footnoteReference w:id="16"/>
      </w:r>
      <w:r w:rsidR="009E1EF0">
        <w:t xml:space="preserve">  We present these results in Figure 2, </w:t>
      </w:r>
      <w:r w:rsidR="00201F45">
        <w:t>showing just</w:t>
      </w:r>
      <w:r w:rsidR="004A79A7">
        <w:t xml:space="preserve"> the local regression results</w:t>
      </w:r>
      <w:r w:rsidR="00102236">
        <w:t>.</w:t>
      </w:r>
      <w:r w:rsidR="00741FE7">
        <w:t xml:space="preserve"> </w:t>
      </w:r>
    </w:p>
    <w:p w:rsidR="000C17E0" w:rsidRDefault="00741FE7" w:rsidP="00741FE7">
      <w:pPr>
        <w:spacing w:line="480" w:lineRule="auto"/>
        <w:ind w:firstLine="720"/>
      </w:pPr>
      <w:r w:rsidRPr="006E5426">
        <w:t xml:space="preserve">The top panel plots the relationship between </w:t>
      </w:r>
      <w:r w:rsidR="00F82386">
        <w:t xml:space="preserve">three attendance outcomes </w:t>
      </w:r>
      <w:r w:rsidR="00CD16C5">
        <w:t>and income for our restricted sample</w:t>
      </w:r>
      <w:r w:rsidR="004842B4">
        <w:t>:  attended at 19/20 (</w:t>
      </w:r>
      <w:r w:rsidR="00EB0E54">
        <w:t xml:space="preserve">the </w:t>
      </w:r>
      <w:r w:rsidR="00C77361">
        <w:t>dotted</w:t>
      </w:r>
      <w:r w:rsidR="004842B4">
        <w:t xml:space="preserve"> line),</w:t>
      </w:r>
      <w:r w:rsidR="0010388C" w:rsidRPr="0010388C">
        <w:t xml:space="preserve"> </w:t>
      </w:r>
      <w:r w:rsidR="0010388C">
        <w:t>attended at 19/20 and completed less than 4 years of college (</w:t>
      </w:r>
      <w:r w:rsidR="00C77361">
        <w:t>solid</w:t>
      </w:r>
      <w:r w:rsidR="0010388C">
        <w:t xml:space="preserve"> line)</w:t>
      </w:r>
      <w:r w:rsidR="00C77361">
        <w:t>,</w:t>
      </w:r>
      <w:r w:rsidR="004842B4">
        <w:t xml:space="preserve"> </w:t>
      </w:r>
      <w:r w:rsidR="00C77361">
        <w:t xml:space="preserve">and </w:t>
      </w:r>
      <w:r w:rsidR="00F82386">
        <w:t>attended at 19/20 and completed at least 4 years of college</w:t>
      </w:r>
      <w:r w:rsidR="004842B4">
        <w:t xml:space="preserve"> by 2009 (</w:t>
      </w:r>
      <w:r w:rsidR="00C77361">
        <w:t>dashed</w:t>
      </w:r>
      <w:r w:rsidR="00CD16C5">
        <w:t xml:space="preserve"> line)</w:t>
      </w:r>
      <w:r w:rsidRPr="006E5426">
        <w:t xml:space="preserve">.  Just as we saw with the full sample in Figure </w:t>
      </w:r>
      <w:r>
        <w:t>1</w:t>
      </w:r>
      <w:r w:rsidRPr="006E5426">
        <w:t xml:space="preserve">, the fraction </w:t>
      </w:r>
      <w:r w:rsidR="00AB32DF">
        <w:t>attending</w:t>
      </w:r>
      <w:r w:rsidR="001D5F24">
        <w:t xml:space="preserve"> </w:t>
      </w:r>
      <w:r w:rsidRPr="006E5426">
        <w:t>college increases at a relatively constant rate between the 10</w:t>
      </w:r>
      <w:r w:rsidRPr="006E5426">
        <w:rPr>
          <w:vertAlign w:val="superscript"/>
        </w:rPr>
        <w:t>th</w:t>
      </w:r>
      <w:r w:rsidRPr="006E5426">
        <w:t xml:space="preserve"> and 90</w:t>
      </w:r>
      <w:r w:rsidRPr="006E5426">
        <w:rPr>
          <w:vertAlign w:val="superscript"/>
        </w:rPr>
        <w:t>th</w:t>
      </w:r>
      <w:r w:rsidRPr="006E5426">
        <w:t xml:space="preserve"> percentiles of the income distribution.</w:t>
      </w:r>
      <w:r w:rsidR="000F698E">
        <w:rPr>
          <w:rStyle w:val="FootnoteReference"/>
        </w:rPr>
        <w:footnoteReference w:id="17"/>
      </w:r>
      <w:r w:rsidR="001D5F24">
        <w:t xml:space="preserve"> The line denoting the relationship between </w:t>
      </w:r>
      <w:r w:rsidR="00103BB9">
        <w:t>completing</w:t>
      </w:r>
      <w:r w:rsidR="001D5F24">
        <w:t xml:space="preserve"> four years of college </w:t>
      </w:r>
      <w:r w:rsidR="001C2E31">
        <w:t xml:space="preserve">and income is approximately </w:t>
      </w:r>
      <w:r w:rsidR="001D5F24">
        <w:t>parallel</w:t>
      </w:r>
      <w:r w:rsidR="001C2E31">
        <w:t xml:space="preserve"> to</w:t>
      </w:r>
      <w:r w:rsidR="001D5F24">
        <w:t xml:space="preserve"> </w:t>
      </w:r>
      <w:r w:rsidR="00B77F29">
        <w:t xml:space="preserve">the </w:t>
      </w:r>
      <w:r w:rsidR="00A931CF">
        <w:t>attendance</w:t>
      </w:r>
      <w:r w:rsidR="001C2E31">
        <w:t>/income</w:t>
      </w:r>
      <w:r w:rsidR="00A931CF">
        <w:t xml:space="preserve"> plot</w:t>
      </w:r>
      <w:r w:rsidR="00B77F29">
        <w:t>, but shifted down by a</w:t>
      </w:r>
      <w:r w:rsidR="0010388C">
        <w:t>pproximately</w:t>
      </w:r>
      <w:r w:rsidR="00B77F29">
        <w:t xml:space="preserve"> 25 percentage points.  Thus, in proportional terms, the relationship between completing four years of college and income is even stronger </w:t>
      </w:r>
      <w:r w:rsidR="00F534ED">
        <w:t xml:space="preserve">than that </w:t>
      </w:r>
      <w:r w:rsidR="00D617F9">
        <w:t>between</w:t>
      </w:r>
      <w:r w:rsidR="00B77F29">
        <w:t xml:space="preserve"> </w:t>
      </w:r>
      <w:r w:rsidR="00D617F9">
        <w:t xml:space="preserve">attendance and </w:t>
      </w:r>
      <w:r w:rsidR="00D617F9">
        <w:lastRenderedPageBreak/>
        <w:t>income</w:t>
      </w:r>
      <w:r w:rsidR="00B77F29">
        <w:t>.  In contrast</w:t>
      </w:r>
      <w:r w:rsidR="001C2E31">
        <w:t>,</w:t>
      </w:r>
      <w:r w:rsidR="001D5F24">
        <w:t xml:space="preserve"> the </w:t>
      </w:r>
      <w:r w:rsidR="00A931CF">
        <w:t>line denoting the relationship between completing less than 4 years of college is basically flat</w:t>
      </w:r>
      <w:r w:rsidR="001C2E31">
        <w:t xml:space="preserve"> at about 25 percentage points (as must be the case given that </w:t>
      </w:r>
      <w:r w:rsidR="000C17E0">
        <w:t>this line is the difference between the other two)</w:t>
      </w:r>
      <w:r w:rsidR="00171E0E">
        <w:t xml:space="preserve">, </w:t>
      </w:r>
      <w:r w:rsidR="000C17E0">
        <w:t xml:space="preserve">suggesting </w:t>
      </w:r>
      <w:r w:rsidR="000D559A">
        <w:t xml:space="preserve">that </w:t>
      </w:r>
      <w:r w:rsidR="000C17E0">
        <w:t>income is not associated with attending college and completing less than 4 years.</w:t>
      </w:r>
      <w:r w:rsidR="00F534ED">
        <w:t xml:space="preserve"> </w:t>
      </w:r>
    </w:p>
    <w:p w:rsidR="00191091" w:rsidRDefault="00741FE7" w:rsidP="007A7A90">
      <w:pPr>
        <w:spacing w:line="480" w:lineRule="auto"/>
        <w:ind w:firstLine="720"/>
      </w:pPr>
      <w:r w:rsidRPr="006E5426">
        <w:t xml:space="preserve">The relationship between these three </w:t>
      </w:r>
      <w:r w:rsidR="00E32B62">
        <w:t xml:space="preserve">attendance </w:t>
      </w:r>
      <w:r w:rsidR="00831A43">
        <w:t>outcome</w:t>
      </w:r>
      <w:r w:rsidRPr="006E5426">
        <w:t xml:space="preserve">s and </w:t>
      </w:r>
      <w:r w:rsidR="00DC0817">
        <w:t>wealth</w:t>
      </w:r>
      <w:r w:rsidRPr="006E5426">
        <w:t xml:space="preserve"> </w:t>
      </w:r>
      <w:r w:rsidR="000D559A">
        <w:t xml:space="preserve">are </w:t>
      </w:r>
      <w:r w:rsidRPr="006E5426">
        <w:t xml:space="preserve">shown in the lower panel </w:t>
      </w:r>
      <w:r w:rsidR="000D559A">
        <w:t xml:space="preserve">and the results </w:t>
      </w:r>
      <w:r w:rsidR="00DB6FDB">
        <w:t>are somewhat</w:t>
      </w:r>
      <w:r w:rsidR="001D5F24">
        <w:t xml:space="preserve"> similar. </w:t>
      </w:r>
      <w:r w:rsidRPr="006E5426">
        <w:t xml:space="preserve"> </w:t>
      </w:r>
      <w:r w:rsidR="000D559A">
        <w:t xml:space="preserve">As before, </w:t>
      </w:r>
      <w:r w:rsidR="00F534ED">
        <w:t xml:space="preserve">even with this restricted sample, </w:t>
      </w:r>
      <w:r w:rsidR="000D559A">
        <w:t>t</w:t>
      </w:r>
      <w:r w:rsidR="00DB6FDB">
        <w:t xml:space="preserve">here exists a strong positive relationship between any attendance and </w:t>
      </w:r>
      <w:r w:rsidR="00DC0817">
        <w:t>wealth</w:t>
      </w:r>
      <w:r w:rsidR="009D00AE">
        <w:t xml:space="preserve"> </w:t>
      </w:r>
      <w:r w:rsidR="00DB6FDB">
        <w:t>through the 75</w:t>
      </w:r>
      <w:r w:rsidR="00DB6FDB" w:rsidRPr="00DB6FDB">
        <w:rPr>
          <w:vertAlign w:val="superscript"/>
        </w:rPr>
        <w:t>th</w:t>
      </w:r>
      <w:r w:rsidR="00DB6FDB">
        <w:t xml:space="preserve"> percentile of the </w:t>
      </w:r>
      <w:r w:rsidR="00DC0817">
        <w:t>wealth</w:t>
      </w:r>
      <w:r w:rsidR="00DB6FDB">
        <w:t xml:space="preserve"> distribution</w:t>
      </w:r>
      <w:r w:rsidR="000D559A">
        <w:t xml:space="preserve">. </w:t>
      </w:r>
      <w:r w:rsidR="007C4982">
        <w:t xml:space="preserve"> Over this range, the relationship between completing at least 4 years of college and </w:t>
      </w:r>
      <w:r w:rsidR="00DC0817">
        <w:t>wealth</w:t>
      </w:r>
      <w:r w:rsidR="007C4982">
        <w:t xml:space="preserve"> is largely parallel, although the relationship between completing less than 4 years and </w:t>
      </w:r>
      <w:r w:rsidR="00DC0817">
        <w:t>wealth</w:t>
      </w:r>
      <w:r w:rsidR="007C4982">
        <w:t xml:space="preserve"> is </w:t>
      </w:r>
      <w:r w:rsidR="00EA4E08">
        <w:t xml:space="preserve">somewhat upward sloping.  </w:t>
      </w:r>
      <w:r w:rsidR="00516392">
        <w:t>Based on these patterns, it appears that the strong relationships we observe between attendance and financial resources</w:t>
      </w:r>
      <w:r w:rsidR="00295ED6">
        <w:t xml:space="preserve"> does not just exist for the </w:t>
      </w:r>
      <w:r w:rsidR="00516392">
        <w:t>decision to attend college</w:t>
      </w:r>
      <w:r w:rsidR="00F534ED">
        <w:t>, but also is present in the decision of how much schooling to obtain.</w:t>
      </w:r>
      <w:r w:rsidR="00F534ED">
        <w:rPr>
          <w:rStyle w:val="FootnoteReference"/>
        </w:rPr>
        <w:footnoteReference w:id="18"/>
      </w:r>
      <w:r w:rsidR="00F534ED">
        <w:t xml:space="preserve">  </w:t>
      </w:r>
    </w:p>
    <w:p w:rsidR="004842B4" w:rsidRDefault="007A7A90" w:rsidP="007A7A90">
      <w:pPr>
        <w:spacing w:line="480" w:lineRule="auto"/>
        <w:ind w:firstLine="720"/>
      </w:pPr>
      <w:proofErr w:type="gramStart"/>
      <w:r>
        <w:rPr>
          <w:i/>
        </w:rPr>
        <w:t>HRS Results</w:t>
      </w:r>
      <w:r>
        <w:t>.</w:t>
      </w:r>
      <w:proofErr w:type="gramEnd"/>
      <w:r>
        <w:t xml:space="preserve">  </w:t>
      </w:r>
      <w:r w:rsidR="00C45629">
        <w:t>We repeat our analysis thus far using our HRS sample</w:t>
      </w:r>
      <w:r w:rsidR="005C08D9">
        <w:t xml:space="preserve">, and the </w:t>
      </w:r>
      <w:r w:rsidR="00C3245B">
        <w:t>similarit</w:t>
      </w:r>
      <w:r w:rsidR="003D3246">
        <w:t>ies</w:t>
      </w:r>
      <w:r w:rsidR="00C3245B">
        <w:t xml:space="preserve"> </w:t>
      </w:r>
      <w:r w:rsidR="00E36E2D">
        <w:t xml:space="preserve">with the PSID </w:t>
      </w:r>
      <w:r w:rsidR="003D3246">
        <w:t>are</w:t>
      </w:r>
      <w:r w:rsidR="00C3245B">
        <w:t xml:space="preserve"> striking.  </w:t>
      </w:r>
      <w:r w:rsidR="00E36E2D">
        <w:t>Except for the difference</w:t>
      </w:r>
      <w:r w:rsidR="00342AF5">
        <w:t xml:space="preserve"> in the age of the head</w:t>
      </w:r>
      <w:r w:rsidR="00E36E2D">
        <w:t xml:space="preserve"> between attendees and non-attendees found in the </w:t>
      </w:r>
      <w:r w:rsidR="008C0ABA">
        <w:t>PSID (see Table 1)</w:t>
      </w:r>
      <w:r w:rsidR="00E36E2D">
        <w:t xml:space="preserve">, the demographic and resource </w:t>
      </w:r>
      <w:r w:rsidR="00C45629">
        <w:t>differences between the</w:t>
      </w:r>
      <w:r w:rsidR="008C0ABA">
        <w:t xml:space="preserve"> attendees and non-attendees in the HRS shown</w:t>
      </w:r>
      <w:r w:rsidR="00E36E2D">
        <w:t xml:space="preserve"> in Table 2 are </w:t>
      </w:r>
      <w:proofErr w:type="gramStart"/>
      <w:r w:rsidR="00E36E2D">
        <w:t>quantitatively  similar</w:t>
      </w:r>
      <w:proofErr w:type="gramEnd"/>
      <w:r w:rsidR="00E36E2D">
        <w:t xml:space="preserve">. </w:t>
      </w:r>
      <w:r w:rsidR="00D50EDD">
        <w:t xml:space="preserve"> </w:t>
      </w:r>
      <w:r w:rsidR="005600EA">
        <w:t xml:space="preserve">For example, there are large </w:t>
      </w:r>
      <w:r w:rsidR="002279FD">
        <w:t>differences</w:t>
      </w:r>
      <w:r w:rsidR="005600EA">
        <w:t xml:space="preserve"> between </w:t>
      </w:r>
      <w:r w:rsidR="00D505B1">
        <w:t xml:space="preserve">the </w:t>
      </w:r>
      <w:r w:rsidR="005600EA">
        <w:t xml:space="preserve">attendees and non-attendees </w:t>
      </w:r>
      <w:r w:rsidR="002279FD">
        <w:t>in the</w:t>
      </w:r>
      <w:r w:rsidR="009302E6">
        <w:t xml:space="preserve">ir parental household structure, parental education, and parental </w:t>
      </w:r>
      <w:r w:rsidR="005600EA">
        <w:t xml:space="preserve">income and </w:t>
      </w:r>
      <w:r w:rsidR="00DC0817">
        <w:t>wealth</w:t>
      </w:r>
      <w:r w:rsidR="005600EA">
        <w:t xml:space="preserve">.  </w:t>
      </w:r>
      <w:r w:rsidR="00A62C78">
        <w:t xml:space="preserve">Also of note </w:t>
      </w:r>
      <w:r w:rsidR="00E36E2D">
        <w:t xml:space="preserve">in the HRS, we </w:t>
      </w:r>
      <w:r w:rsidR="002279FD">
        <w:t>find</w:t>
      </w:r>
      <w:r w:rsidR="00E36E2D">
        <w:t xml:space="preserve"> that the household head of attendees </w:t>
      </w:r>
      <w:r w:rsidR="002279FD">
        <w:t>is</w:t>
      </w:r>
      <w:r w:rsidR="00E36E2D">
        <w:t xml:space="preserve"> much less likely to be Hispanic </w:t>
      </w:r>
      <w:r w:rsidR="002279FD">
        <w:t>than the head of household for</w:t>
      </w:r>
      <w:r w:rsidR="00E36E2D">
        <w:t xml:space="preserve"> non</w:t>
      </w:r>
      <w:r w:rsidR="004B293B">
        <w:t>-</w:t>
      </w:r>
      <w:r w:rsidR="00E36E2D">
        <w:t>attendees (</w:t>
      </w:r>
      <w:r w:rsidR="002279FD">
        <w:t>0</w:t>
      </w:r>
      <w:r w:rsidR="00E36E2D">
        <w:t xml:space="preserve">.08 versus </w:t>
      </w:r>
      <w:r w:rsidR="002279FD">
        <w:t>0</w:t>
      </w:r>
      <w:r w:rsidR="00E36E2D">
        <w:t>.15)</w:t>
      </w:r>
      <w:r w:rsidR="002279FD">
        <w:t xml:space="preserve">, implying that Hispanics are less likely to </w:t>
      </w:r>
      <w:r w:rsidR="00F70F29">
        <w:t>attend</w:t>
      </w:r>
      <w:r w:rsidR="002279FD">
        <w:t xml:space="preserve"> college</w:t>
      </w:r>
      <w:r w:rsidR="00E36E2D">
        <w:t>.</w:t>
      </w:r>
    </w:p>
    <w:p w:rsidR="00C3245B" w:rsidRDefault="009D00AE" w:rsidP="00342AF5">
      <w:pPr>
        <w:spacing w:line="480" w:lineRule="auto"/>
        <w:ind w:firstLine="720"/>
      </w:pPr>
      <w:r>
        <w:lastRenderedPageBreak/>
        <w:t>In addition</w:t>
      </w:r>
      <w:r w:rsidR="00F70F29">
        <w:t xml:space="preserve">, </w:t>
      </w:r>
      <w:r w:rsidR="00342AF5">
        <w:t xml:space="preserve">we find </w:t>
      </w:r>
      <w:r w:rsidR="00F70F29">
        <w:t xml:space="preserve">that the relationships between attendance and financial resources </w:t>
      </w:r>
      <w:r w:rsidR="00342AF5">
        <w:t xml:space="preserve">illustrated in </w:t>
      </w:r>
      <w:r w:rsidR="00D95D20">
        <w:t>Figures 3 and 4</w:t>
      </w:r>
      <w:r w:rsidR="00342AF5">
        <w:t xml:space="preserve"> </w:t>
      </w:r>
      <w:r w:rsidR="00F70F29">
        <w:t>to be very similar</w:t>
      </w:r>
      <w:r>
        <w:t xml:space="preserve"> to the</w:t>
      </w:r>
      <w:r w:rsidR="00F534ED">
        <w:t xml:space="preserve"> </w:t>
      </w:r>
      <w:r>
        <w:t>PSID results in Figures 1 and 2</w:t>
      </w:r>
      <w:r w:rsidR="00D95D20">
        <w:t xml:space="preserve">.  Just as we found with the PSID, </w:t>
      </w:r>
      <w:r w:rsidR="00E36E2D">
        <w:t>attendance</w:t>
      </w:r>
      <w:r w:rsidR="00D95D20">
        <w:t xml:space="preserve"> increases between the 10</w:t>
      </w:r>
      <w:r w:rsidR="00D95D20" w:rsidRPr="00D95D20">
        <w:rPr>
          <w:vertAlign w:val="superscript"/>
        </w:rPr>
        <w:t>th</w:t>
      </w:r>
      <w:r w:rsidR="00D95D20">
        <w:t xml:space="preserve"> and </w:t>
      </w:r>
      <w:r w:rsidR="00E36E2D">
        <w:t>90</w:t>
      </w:r>
      <w:r w:rsidR="00E36E2D" w:rsidRPr="00E36E2D">
        <w:rPr>
          <w:vertAlign w:val="superscript"/>
        </w:rPr>
        <w:t>th</w:t>
      </w:r>
      <w:r w:rsidR="00E36E2D">
        <w:t xml:space="preserve"> pe</w:t>
      </w:r>
      <w:r w:rsidR="00D95D20">
        <w:t>rcentiles of the income distribution at a fairly constant rate and</w:t>
      </w:r>
      <w:r w:rsidR="00AE5083">
        <w:t xml:space="preserve"> increases</w:t>
      </w:r>
      <w:r w:rsidR="00D95D20">
        <w:t xml:space="preserve"> between the 10</w:t>
      </w:r>
      <w:r w:rsidR="00D95D20" w:rsidRPr="00D95D20">
        <w:rPr>
          <w:vertAlign w:val="superscript"/>
        </w:rPr>
        <w:t>th</w:t>
      </w:r>
      <w:r w:rsidR="00D95D20">
        <w:t xml:space="preserve"> and</w:t>
      </w:r>
      <w:r w:rsidR="00E36E2D">
        <w:t xml:space="preserve"> 75</w:t>
      </w:r>
      <w:r w:rsidR="00E36E2D" w:rsidRPr="00E36E2D">
        <w:rPr>
          <w:vertAlign w:val="superscript"/>
        </w:rPr>
        <w:t>th</w:t>
      </w:r>
      <w:r w:rsidR="00E36E2D">
        <w:t xml:space="preserve"> percentile</w:t>
      </w:r>
      <w:r w:rsidR="00D95D20">
        <w:t xml:space="preserve">s of the </w:t>
      </w:r>
      <w:r w:rsidR="00DC0817">
        <w:t>wealth</w:t>
      </w:r>
      <w:r w:rsidR="00D95D20">
        <w:t xml:space="preserve"> distribution at a declining rate</w:t>
      </w:r>
      <w:r w:rsidR="007E2DF2">
        <w:t xml:space="preserve"> (see Figure 3</w:t>
      </w:r>
      <w:r>
        <w:t>)</w:t>
      </w:r>
      <w:r w:rsidR="00D95D20">
        <w:t>.</w:t>
      </w:r>
      <w:r>
        <w:t xml:space="preserve">  </w:t>
      </w:r>
      <w:r w:rsidR="00BC6704">
        <w:t>In addition, we see the relationships dampened when income, wealth, and the other covariates are entered jointly.  Finally</w:t>
      </w:r>
      <w:r w:rsidR="00AE5083">
        <w:t xml:space="preserve">, </w:t>
      </w:r>
      <w:r w:rsidR="00DA51F2">
        <w:t>the attendance gradient</w:t>
      </w:r>
      <w:r w:rsidR="00071C31">
        <w:t>s</w:t>
      </w:r>
      <w:r w:rsidR="00DA51F2">
        <w:t xml:space="preserve"> with income </w:t>
      </w:r>
      <w:r w:rsidR="00071C31">
        <w:t xml:space="preserve">and </w:t>
      </w:r>
      <w:r w:rsidR="00DC0817">
        <w:t>wealth</w:t>
      </w:r>
      <w:r w:rsidR="00071C31">
        <w:t xml:space="preserve"> are</w:t>
      </w:r>
      <w:r w:rsidR="00DA51F2">
        <w:t xml:space="preserve"> primarily due to completion gradient</w:t>
      </w:r>
      <w:r w:rsidR="00645316">
        <w:t>s</w:t>
      </w:r>
      <w:r w:rsidR="00DA51F2">
        <w:t xml:space="preserve"> (see Figure </w:t>
      </w:r>
      <w:r w:rsidR="007E2DF2">
        <w:t>4</w:t>
      </w:r>
      <w:r w:rsidR="00DA51F2">
        <w:t>).</w:t>
      </w:r>
      <w:r w:rsidR="00F534ED">
        <w:t xml:space="preserve"> The strong similarity between the results for these two very different data sets </w:t>
      </w:r>
      <w:r w:rsidR="00191091">
        <w:t>suggests that are findings are broadly applicable</w:t>
      </w:r>
      <w:r w:rsidR="00F534ED">
        <w:t>.</w:t>
      </w:r>
    </w:p>
    <w:p w:rsidR="000C19B0" w:rsidRPr="000E69D4" w:rsidRDefault="000C19B0" w:rsidP="004967D0">
      <w:pPr>
        <w:spacing w:line="480" w:lineRule="auto"/>
        <w:ind w:firstLine="720"/>
        <w:rPr>
          <w:i/>
        </w:rPr>
      </w:pPr>
    </w:p>
    <w:p w:rsidR="00331975" w:rsidRPr="00731592" w:rsidRDefault="00AA2BF8" w:rsidP="00331975">
      <w:pPr>
        <w:spacing w:line="360" w:lineRule="auto"/>
        <w:rPr>
          <w:b/>
        </w:rPr>
      </w:pPr>
      <w:r>
        <w:rPr>
          <w:b/>
        </w:rPr>
        <w:t>4</w:t>
      </w:r>
      <w:r w:rsidRPr="00731592">
        <w:rPr>
          <w:b/>
        </w:rPr>
        <w:t>.</w:t>
      </w:r>
      <w:r w:rsidR="003A33F9">
        <w:rPr>
          <w:b/>
        </w:rPr>
        <w:t>2</w:t>
      </w:r>
      <w:r>
        <w:rPr>
          <w:b/>
        </w:rPr>
        <w:t>.</w:t>
      </w:r>
      <w:r w:rsidR="005F2426">
        <w:rPr>
          <w:b/>
        </w:rPr>
        <w:t xml:space="preserve"> </w:t>
      </w:r>
      <w:r w:rsidR="00445A61">
        <w:rPr>
          <w:b/>
        </w:rPr>
        <w:t xml:space="preserve">Other </w:t>
      </w:r>
      <w:r w:rsidR="002279FD">
        <w:rPr>
          <w:b/>
        </w:rPr>
        <w:t>Socio-demographic</w:t>
      </w:r>
      <w:r w:rsidR="00B50610">
        <w:rPr>
          <w:b/>
        </w:rPr>
        <w:t xml:space="preserve"> </w:t>
      </w:r>
      <w:r w:rsidR="00AF2D99">
        <w:rPr>
          <w:b/>
        </w:rPr>
        <w:t>Characteristics</w:t>
      </w:r>
      <w:r w:rsidR="007E2DF2">
        <w:rPr>
          <w:b/>
        </w:rPr>
        <w:t xml:space="preserve"> and College Atte</w:t>
      </w:r>
      <w:r w:rsidR="005D65F3">
        <w:rPr>
          <w:b/>
        </w:rPr>
        <w:t>n</w:t>
      </w:r>
      <w:r w:rsidR="007E2DF2">
        <w:rPr>
          <w:b/>
        </w:rPr>
        <w:t>d</w:t>
      </w:r>
      <w:r w:rsidR="005D65F3">
        <w:rPr>
          <w:b/>
        </w:rPr>
        <w:t>a</w:t>
      </w:r>
      <w:r w:rsidR="007E2DF2">
        <w:rPr>
          <w:b/>
        </w:rPr>
        <w:t>nce</w:t>
      </w:r>
    </w:p>
    <w:p w:rsidR="003877E0" w:rsidRDefault="003877E0">
      <w:pPr>
        <w:spacing w:line="480" w:lineRule="auto"/>
      </w:pPr>
      <w:r>
        <w:t>Tables 1 and 2 demon</w:t>
      </w:r>
      <w:r w:rsidR="004A6787">
        <w:t>strate</w:t>
      </w:r>
      <w:r w:rsidR="002279FD">
        <w:t xml:space="preserve"> the well-known associations between college attendance and many socio-demographic characteristics. As we saw in Figure 1, when controlling for a set of these characteristics, the effects of income and wealth are</w:t>
      </w:r>
      <w:r w:rsidR="00EF4A7B">
        <w:t xml:space="preserve"> less strong than when considered alone</w:t>
      </w:r>
      <w:r w:rsidR="002279FD">
        <w:t xml:space="preserve">. We now discuss directly the </w:t>
      </w:r>
      <w:r w:rsidR="00BE4D4B">
        <w:t>other covariates we included in that regression, presenting these coefficients for both samples in Table 3.  Again, w</w:t>
      </w:r>
      <w:r w:rsidR="002279FD">
        <w:t xml:space="preserve">e specify college enrollment to be functions of </w:t>
      </w:r>
      <w:r w:rsidR="00CA4DD6">
        <w:t xml:space="preserve">a </w:t>
      </w:r>
      <w:proofErr w:type="spellStart"/>
      <w:r w:rsidR="002279FD">
        <w:t>quartic</w:t>
      </w:r>
      <w:proofErr w:type="spellEnd"/>
      <w:r w:rsidR="002279FD">
        <w:t xml:space="preserve"> in income and wealth</w:t>
      </w:r>
      <w:r w:rsidR="00BE4D4B">
        <w:t xml:space="preserve"> when they are included.  </w:t>
      </w:r>
      <w:r w:rsidR="002145C8">
        <w:t xml:space="preserve">We first estimate the regression model with just the socio-demographic variables, then enter income (as a </w:t>
      </w:r>
      <w:proofErr w:type="spellStart"/>
      <w:r w:rsidR="002145C8">
        <w:t>quartic</w:t>
      </w:r>
      <w:proofErr w:type="spellEnd"/>
      <w:r w:rsidR="002145C8">
        <w:t xml:space="preserve">) to replicate the most common controls in the literature, </w:t>
      </w:r>
      <w:r w:rsidR="00E275F9">
        <w:t xml:space="preserve">and </w:t>
      </w:r>
      <w:r w:rsidR="002145C8">
        <w:t xml:space="preserve">then we </w:t>
      </w:r>
      <w:r w:rsidR="00E275F9">
        <w:t xml:space="preserve">add </w:t>
      </w:r>
      <w:r w:rsidR="002145C8">
        <w:t xml:space="preserve">wealth to see how the conclusions change with more complete controls for financial </w:t>
      </w:r>
      <w:r w:rsidR="0027089F">
        <w:t>resources.</w:t>
      </w:r>
      <w:r w:rsidR="00BE4D4B">
        <w:t xml:space="preserve"> </w:t>
      </w:r>
      <w:r w:rsidR="00323AAF">
        <w:t xml:space="preserve">The </w:t>
      </w:r>
      <w:r w:rsidR="00740B3C">
        <w:t xml:space="preserve">income and wealth </w:t>
      </w:r>
      <w:r w:rsidR="00BE4D4B">
        <w:t xml:space="preserve">coefficients for all models are </w:t>
      </w:r>
      <w:r w:rsidR="00323AAF">
        <w:t xml:space="preserve">reported </w:t>
      </w:r>
      <w:r w:rsidR="00BE4D4B">
        <w:t>in the appendix</w:t>
      </w:r>
      <w:r w:rsidR="000D08C5">
        <w:t xml:space="preserve">, </w:t>
      </w:r>
      <w:r w:rsidR="00323AAF">
        <w:t xml:space="preserve">and the estimates from column 3 are used to generate </w:t>
      </w:r>
      <w:r w:rsidR="000D08C5">
        <w:t>the “</w:t>
      </w:r>
      <w:proofErr w:type="spellStart"/>
      <w:r w:rsidR="000D08C5">
        <w:t>Quartic</w:t>
      </w:r>
      <w:proofErr w:type="spellEnd"/>
      <w:r w:rsidR="000D08C5">
        <w:t xml:space="preserve"> with X’s” curves in Figures 1 and 3</w:t>
      </w:r>
      <w:r w:rsidR="00323AAF">
        <w:t>.</w:t>
      </w:r>
    </w:p>
    <w:p w:rsidR="00BA76FC" w:rsidRDefault="008378DA" w:rsidP="00BA76FC">
      <w:pPr>
        <w:spacing w:line="480" w:lineRule="auto"/>
        <w:ind w:firstLine="720"/>
      </w:pPr>
      <w:r>
        <w:t xml:space="preserve">Tables 1 and 2 revealed that </w:t>
      </w:r>
      <w:r w:rsidR="004D2906">
        <w:t xml:space="preserve">college </w:t>
      </w:r>
      <w:r>
        <w:t xml:space="preserve">attendees were much less likely to be from a household </w:t>
      </w:r>
      <w:r w:rsidR="004D2906">
        <w:t>headed by</w:t>
      </w:r>
      <w:r>
        <w:t xml:space="preserve"> a single female.  </w:t>
      </w:r>
      <w:r w:rsidR="00F17301">
        <w:t>T</w:t>
      </w:r>
      <w:r>
        <w:t xml:space="preserve">his difference remains </w:t>
      </w:r>
      <w:r w:rsidR="004D2906">
        <w:t xml:space="preserve">strong </w:t>
      </w:r>
      <w:r w:rsidR="00323AAF">
        <w:t xml:space="preserve">in the PSID sample even </w:t>
      </w:r>
      <w:r>
        <w:lastRenderedPageBreak/>
        <w:t xml:space="preserve">when other household characteristics are included: a young adult from </w:t>
      </w:r>
      <w:r>
        <w:t xml:space="preserve">a single-mother household is </w:t>
      </w:r>
      <w:r w:rsidR="003C14EE">
        <w:t>14.1</w:t>
      </w:r>
      <w:r>
        <w:t xml:space="preserve"> percentages points les</w:t>
      </w:r>
      <w:r w:rsidR="00BA76FC">
        <w:t xml:space="preserve">s likely to attend college when </w:t>
      </w:r>
      <w:r w:rsidR="002D4685" w:rsidRPr="005D65F3">
        <w:t xml:space="preserve">just </w:t>
      </w:r>
      <w:r w:rsidR="00BA76FC">
        <w:t xml:space="preserve">standard demographics are included in the model (column 1).  This </w:t>
      </w:r>
      <w:r w:rsidR="005D65F3">
        <w:t>difference</w:t>
      </w:r>
      <w:r w:rsidR="00BA76FC">
        <w:t xml:space="preserve"> declines to </w:t>
      </w:r>
      <w:r w:rsidR="007A463D">
        <w:t>6.1</w:t>
      </w:r>
      <w:r w:rsidR="00BA76FC">
        <w:t xml:space="preserve"> percentages with the inclusion of income (column 2), a </w:t>
      </w:r>
      <w:r w:rsidR="004D2906">
        <w:t>fall of more than 50 percent</w:t>
      </w:r>
      <w:r w:rsidR="00C3614C">
        <w:t xml:space="preserve">, but remains </w:t>
      </w:r>
      <w:r w:rsidR="008300A9">
        <w:t xml:space="preserve">statistically significant.  </w:t>
      </w:r>
      <w:r w:rsidR="00BA76FC">
        <w:t>The</w:t>
      </w:r>
      <w:r w:rsidR="004D2906">
        <w:t xml:space="preserve"> addition of</w:t>
      </w:r>
      <w:r w:rsidR="00BA76FC">
        <w:t xml:space="preserve"> </w:t>
      </w:r>
      <w:r w:rsidR="00DC0817">
        <w:t>wealth</w:t>
      </w:r>
      <w:r w:rsidR="004D2906">
        <w:t xml:space="preserve"> to the regression</w:t>
      </w:r>
      <w:r w:rsidR="00BA76FC">
        <w:t xml:space="preserve"> </w:t>
      </w:r>
      <w:r w:rsidR="004D2906">
        <w:t>has little additional effect</w:t>
      </w:r>
      <w:r w:rsidR="00BA76FC">
        <w:t xml:space="preserve"> (</w:t>
      </w:r>
      <w:r w:rsidR="005E6DBD">
        <w:t xml:space="preserve">to 5.9 percentage points, </w:t>
      </w:r>
      <w:r w:rsidR="00BA76FC">
        <w:t>see column 3). In the HRS, the</w:t>
      </w:r>
      <w:r w:rsidR="004D2906">
        <w:t xml:space="preserve"> </w:t>
      </w:r>
      <w:r w:rsidR="005E6DBD">
        <w:t>difference with only the basic controls is smaller than the analogous difference in the PSID (6.8 vs. 14.1 percentage points) and</w:t>
      </w:r>
      <w:r w:rsidR="00BA76FC">
        <w:t xml:space="preserve"> completely disappears with the inclusion of </w:t>
      </w:r>
      <w:r w:rsidR="00074DD2">
        <w:t>financial resources</w:t>
      </w:r>
      <w:r w:rsidR="00BA76FC">
        <w:t xml:space="preserve"> (see column</w:t>
      </w:r>
      <w:r w:rsidR="00074DD2">
        <w:t>s</w:t>
      </w:r>
      <w:r w:rsidR="00BA76FC">
        <w:t xml:space="preserve"> 2</w:t>
      </w:r>
      <w:r w:rsidR="00074DD2">
        <w:t xml:space="preserve"> and 3</w:t>
      </w:r>
      <w:r w:rsidR="00BA76FC">
        <w:t xml:space="preserve">).  </w:t>
      </w:r>
      <w:r w:rsidR="00323AAF">
        <w:t>This differen</w:t>
      </w:r>
      <w:r w:rsidR="00F17301">
        <w:t>ce</w:t>
      </w:r>
      <w:r w:rsidR="00323AAF">
        <w:t xml:space="preserve"> in the results for the two surveys may stem from the differences in the age of the parents at the time of the birth of their child</w:t>
      </w:r>
      <w:r w:rsidR="00F17301">
        <w:t>:</w:t>
      </w:r>
      <w:r w:rsidR="00323AAF">
        <w:t xml:space="preserve"> </w:t>
      </w:r>
      <w:r w:rsidR="00F17301">
        <w:t xml:space="preserve"> </w:t>
      </w:r>
      <w:r w:rsidR="00323AAF">
        <w:t>Single mothers who were older when th</w:t>
      </w:r>
      <w:r w:rsidR="00F17301">
        <w:t>eir children were born may be in a better position to foster the educational attainment of their children.  Regardless</w:t>
      </w:r>
      <w:r w:rsidR="00BA76FC">
        <w:t>,</w:t>
      </w:r>
      <w:r w:rsidR="00F17301">
        <w:t xml:space="preserve"> based on both surveys,</w:t>
      </w:r>
      <w:r w:rsidR="00BA76FC">
        <w:t xml:space="preserve"> the differences </w:t>
      </w:r>
      <w:r w:rsidR="00C3614C">
        <w:t xml:space="preserve">in attendance between </w:t>
      </w:r>
      <w:r w:rsidR="00BA76FC">
        <w:t xml:space="preserve">young adults from single </w:t>
      </w:r>
      <w:r w:rsidR="00323AAF">
        <w:t>mother</w:t>
      </w:r>
      <w:r w:rsidR="00BA76FC">
        <w:t xml:space="preserve"> families and </w:t>
      </w:r>
      <w:r w:rsidR="00323AAF">
        <w:t>other</w:t>
      </w:r>
      <w:r w:rsidR="00F17301">
        <w:t xml:space="preserve"> families appears to be largely driven by differences in financial resources</w:t>
      </w:r>
      <w:r w:rsidR="00323AAF">
        <w:t>.</w:t>
      </w:r>
    </w:p>
    <w:p w:rsidR="000B6C09" w:rsidRDefault="00E05E41" w:rsidP="00C953A4">
      <w:pPr>
        <w:spacing w:line="480" w:lineRule="auto"/>
        <w:ind w:firstLine="720"/>
      </w:pPr>
      <w:r>
        <w:t>The effect of</w:t>
      </w:r>
      <w:r w:rsidR="00B50610">
        <w:t xml:space="preserve"> a</w:t>
      </w:r>
      <w:r>
        <w:t xml:space="preserve"> head</w:t>
      </w:r>
      <w:r w:rsidR="00B50610">
        <w:t>’s</w:t>
      </w:r>
      <w:r>
        <w:t xml:space="preserve"> education</w:t>
      </w:r>
      <w:r w:rsidR="00A328C5">
        <w:t xml:space="preserve"> on college attend</w:t>
      </w:r>
      <w:r w:rsidR="00B33C47">
        <w:t>a</w:t>
      </w:r>
      <w:r w:rsidR="00A328C5">
        <w:t>nce</w:t>
      </w:r>
      <w:r>
        <w:t xml:space="preserve"> </w:t>
      </w:r>
      <w:r w:rsidR="00AE5083">
        <w:t>is somewhat smaller</w:t>
      </w:r>
      <w:r w:rsidR="004B6327">
        <w:t xml:space="preserve"> </w:t>
      </w:r>
      <w:r w:rsidR="002E4B5D">
        <w:t>w</w:t>
      </w:r>
      <w:r w:rsidR="00922BF1">
        <w:t xml:space="preserve">hen income and </w:t>
      </w:r>
      <w:r w:rsidR="00DC0817">
        <w:t>wealth</w:t>
      </w:r>
      <w:r w:rsidR="00922BF1">
        <w:t xml:space="preserve"> are </w:t>
      </w:r>
      <w:r w:rsidR="0027089F">
        <w:t>included in the regression,</w:t>
      </w:r>
      <w:r w:rsidR="004B6327">
        <w:t xml:space="preserve"> but</w:t>
      </w:r>
      <w:r w:rsidR="0027089F">
        <w:t xml:space="preserve"> </w:t>
      </w:r>
      <w:r w:rsidR="000753C7">
        <w:t>remains a strong and significant predictor</w:t>
      </w:r>
      <w:r w:rsidR="00AE5083">
        <w:t xml:space="preserve"> of attendance</w:t>
      </w:r>
      <w:r w:rsidR="0027089F">
        <w:t xml:space="preserve"> </w:t>
      </w:r>
      <w:r w:rsidR="00E9569A">
        <w:t>in both data sets.</w:t>
      </w:r>
      <w:r w:rsidR="0027089F">
        <w:t xml:space="preserve">  </w:t>
      </w:r>
      <w:r>
        <w:t xml:space="preserve">In the PSID, the inclusion of </w:t>
      </w:r>
      <w:r w:rsidR="00DC0817">
        <w:t>wealth</w:t>
      </w:r>
      <w:r>
        <w:t xml:space="preserve"> and income </w:t>
      </w:r>
      <w:r w:rsidR="00892681">
        <w:t>reduces</w:t>
      </w:r>
      <w:r>
        <w:t xml:space="preserve"> the effect of an additional year of parental education </w:t>
      </w:r>
      <w:r w:rsidR="000753C7">
        <w:t xml:space="preserve">on college </w:t>
      </w:r>
      <w:r>
        <w:t>attendance from 4.</w:t>
      </w:r>
      <w:r w:rsidR="00A4210D">
        <w:t>6</w:t>
      </w:r>
      <w:r>
        <w:t xml:space="preserve"> percent</w:t>
      </w:r>
      <w:r w:rsidR="00A730FE">
        <w:t>age points</w:t>
      </w:r>
      <w:r>
        <w:t xml:space="preserve"> to 3.</w:t>
      </w:r>
      <w:r w:rsidR="00A4210D">
        <w:t>2</w:t>
      </w:r>
      <w:r>
        <w:t xml:space="preserve"> percent</w:t>
      </w:r>
      <w:r w:rsidR="00A730FE">
        <w:t>age points</w:t>
      </w:r>
      <w:r w:rsidR="004E31D4">
        <w:t xml:space="preserve">, </w:t>
      </w:r>
      <w:r w:rsidR="000753C7">
        <w:t>a decline of 30 percent</w:t>
      </w:r>
      <w:r w:rsidR="00323AAF">
        <w:t>, but still economically significant</w:t>
      </w:r>
      <w:r w:rsidR="000753C7">
        <w:t>.</w:t>
      </w:r>
      <w:r w:rsidR="00A730FE">
        <w:t xml:space="preserve"> A similar pattern is eviden</w:t>
      </w:r>
      <w:r w:rsidR="000B6C09">
        <w:t>t</w:t>
      </w:r>
      <w:r w:rsidR="00A730FE">
        <w:t xml:space="preserve"> in the HRS: one year of parental education increases attendance by 5.6 percentage points </w:t>
      </w:r>
      <w:r w:rsidR="004E31D4">
        <w:t xml:space="preserve">with the basic controls (column 4) </w:t>
      </w:r>
      <w:r w:rsidR="00A730FE">
        <w:t>and 4.1 percent</w:t>
      </w:r>
      <w:r w:rsidR="008345DB">
        <w:t>age points when controlling for</w:t>
      </w:r>
      <w:r w:rsidR="004E31D4">
        <w:t xml:space="preserve"> income and </w:t>
      </w:r>
      <w:r w:rsidR="00DC0817">
        <w:t>wealth</w:t>
      </w:r>
      <w:r w:rsidR="004E31D4">
        <w:t xml:space="preserve"> (column 6), which a</w:t>
      </w:r>
      <w:r w:rsidR="000753C7">
        <w:t xml:space="preserve">gain </w:t>
      </w:r>
      <w:r w:rsidR="004E31D4">
        <w:t xml:space="preserve">is </w:t>
      </w:r>
      <w:r w:rsidR="000753C7">
        <w:t>a decline of nearly 30 percent</w:t>
      </w:r>
      <w:r w:rsidR="00A730FE">
        <w:t>.</w:t>
      </w:r>
      <w:r w:rsidR="00A514CF">
        <w:t xml:space="preserve"> </w:t>
      </w:r>
      <w:r w:rsidR="00892681">
        <w:t xml:space="preserve"> </w:t>
      </w:r>
      <w:r w:rsidR="000B6C09">
        <w:t>Thus, even after controlling for detailed measures of parental resources, the educational level of the parents remains strongly associated with the educational level of the young adult.</w:t>
      </w:r>
      <w:r w:rsidR="00892681">
        <w:t xml:space="preserve"> </w:t>
      </w:r>
    </w:p>
    <w:p w:rsidR="00484376" w:rsidRDefault="00447378" w:rsidP="00C953A4">
      <w:pPr>
        <w:spacing w:line="480" w:lineRule="auto"/>
        <w:ind w:firstLine="720"/>
      </w:pPr>
      <w:r>
        <w:lastRenderedPageBreak/>
        <w:t xml:space="preserve">The last </w:t>
      </w:r>
      <w:r w:rsidR="008B3E9F">
        <w:t>characteristic</w:t>
      </w:r>
      <w:r w:rsidR="00C56100">
        <w:t xml:space="preserve"> we </w:t>
      </w:r>
      <w:r>
        <w:t>examine</w:t>
      </w:r>
      <w:r w:rsidR="000753C7">
        <w:t xml:space="preserve"> </w:t>
      </w:r>
      <w:r>
        <w:t xml:space="preserve">is </w:t>
      </w:r>
      <w:r w:rsidR="000B6C09">
        <w:t>the</w:t>
      </w:r>
      <w:r w:rsidR="00C56100">
        <w:t xml:space="preserve"> </w:t>
      </w:r>
      <w:r w:rsidR="009C7140">
        <w:t xml:space="preserve">race </w:t>
      </w:r>
      <w:r w:rsidR="000753C7">
        <w:t xml:space="preserve">/ </w:t>
      </w:r>
      <w:r w:rsidR="009C7140">
        <w:t xml:space="preserve">ethnicity of the parent.  </w:t>
      </w:r>
      <w:r w:rsidR="00892681">
        <w:t xml:space="preserve">After controlling for income and </w:t>
      </w:r>
      <w:r w:rsidR="00DC0817">
        <w:t>wealth</w:t>
      </w:r>
      <w:r w:rsidR="00892681">
        <w:t xml:space="preserve">, </w:t>
      </w:r>
      <w:r w:rsidR="008F3339">
        <w:t xml:space="preserve">coming from a </w:t>
      </w:r>
      <w:r w:rsidR="006506C2">
        <w:t xml:space="preserve">household headed by </w:t>
      </w:r>
      <w:r w:rsidR="00892681">
        <w:t xml:space="preserve">black </w:t>
      </w:r>
      <w:r w:rsidR="002C79C5">
        <w:t>parent</w:t>
      </w:r>
      <w:r w:rsidR="00892681">
        <w:t xml:space="preserve"> </w:t>
      </w:r>
      <w:r w:rsidR="00C56100">
        <w:t>has no effect on enrollment in either</w:t>
      </w:r>
      <w:r w:rsidR="00C30D64">
        <w:t xml:space="preserve"> the PSID or the HRS</w:t>
      </w:r>
      <w:r w:rsidR="00892681">
        <w:t xml:space="preserve">.  </w:t>
      </w:r>
      <w:r w:rsidR="00C56100">
        <w:t>W</w:t>
      </w:r>
      <w:r w:rsidR="00C30D64">
        <w:t>hile we can</w:t>
      </w:r>
      <w:r w:rsidR="00C56100">
        <w:t xml:space="preserve"> only </w:t>
      </w:r>
      <w:r w:rsidR="006506C2">
        <w:t>include</w:t>
      </w:r>
      <w:r w:rsidR="00C56100">
        <w:t xml:space="preserve"> Hispanic ethnicity in the HRS</w:t>
      </w:r>
      <w:r w:rsidR="00C30D64">
        <w:t>,</w:t>
      </w:r>
      <w:r w:rsidR="006506C2">
        <w:t xml:space="preserve"> </w:t>
      </w:r>
      <w:r w:rsidR="00F319D5">
        <w:t xml:space="preserve">we find </w:t>
      </w:r>
      <w:r w:rsidR="00F4295C">
        <w:t xml:space="preserve">a positive effect of having a Hispanic parent </w:t>
      </w:r>
      <w:r w:rsidR="006506C2">
        <w:t xml:space="preserve">in the specification with only the basic controls </w:t>
      </w:r>
      <w:r w:rsidR="0067252C">
        <w:t>(7.0 percentage points</w:t>
      </w:r>
      <w:r w:rsidR="006506C2">
        <w:t xml:space="preserve">, </w:t>
      </w:r>
      <w:r w:rsidR="006506C2" w:rsidRPr="00FF28A8">
        <w:t>column 3) and this effect becomes even larger</w:t>
      </w:r>
      <w:r w:rsidR="00F4295C" w:rsidRPr="00FF28A8">
        <w:t xml:space="preserve"> with the inclusion of income and </w:t>
      </w:r>
      <w:r w:rsidR="00DC0817" w:rsidRPr="00FF28A8">
        <w:t>wealth</w:t>
      </w:r>
      <w:r w:rsidR="006506C2" w:rsidRPr="00FF28A8">
        <w:t xml:space="preserve"> (9.3 percentage points, column 6)</w:t>
      </w:r>
      <w:r w:rsidR="00F319D5" w:rsidRPr="00FF28A8">
        <w:t>, although not statistically so.</w:t>
      </w:r>
      <w:r w:rsidR="0027089F" w:rsidRPr="00FF28A8">
        <w:t xml:space="preserve"> </w:t>
      </w:r>
      <w:r w:rsidR="003A74FB" w:rsidRPr="00FF28A8">
        <w:t xml:space="preserve"> Thus, once we include parental financial resources, </w:t>
      </w:r>
      <w:r w:rsidR="00C30D64" w:rsidRPr="00FF28A8">
        <w:t>the</w:t>
      </w:r>
      <w:r w:rsidR="00323AAF">
        <w:t xml:space="preserve"> black</w:t>
      </w:r>
      <w:r w:rsidR="00D44203">
        <w:t>/</w:t>
      </w:r>
      <w:r w:rsidR="00323AAF">
        <w:t xml:space="preserve">white difference disappears, </w:t>
      </w:r>
      <w:r w:rsidR="0062247F">
        <w:t>and there is some evidence that Hispanics attend college at higher than expected rates</w:t>
      </w:r>
      <w:r w:rsidR="00FF28A8" w:rsidRPr="00FF28A8">
        <w:t>.</w:t>
      </w:r>
      <w:r w:rsidR="00FF28A8">
        <w:rPr>
          <w:rStyle w:val="FootnoteReference"/>
        </w:rPr>
        <w:footnoteReference w:id="19"/>
      </w:r>
      <w:r w:rsidR="00FF28A8" w:rsidRPr="00FF28A8">
        <w:t xml:space="preserve">  </w:t>
      </w:r>
    </w:p>
    <w:p w:rsidR="004C5E91" w:rsidRDefault="004C5E91" w:rsidP="00630292">
      <w:pPr>
        <w:spacing w:line="480" w:lineRule="auto"/>
      </w:pPr>
    </w:p>
    <w:p w:rsidR="006F0C1C" w:rsidRPr="00731592" w:rsidRDefault="006F0C1C" w:rsidP="006F0C1C">
      <w:pPr>
        <w:spacing w:line="360" w:lineRule="auto"/>
        <w:rPr>
          <w:b/>
        </w:rPr>
      </w:pPr>
      <w:r>
        <w:rPr>
          <w:b/>
        </w:rPr>
        <w:t>4</w:t>
      </w:r>
      <w:r w:rsidRPr="00731592">
        <w:rPr>
          <w:b/>
        </w:rPr>
        <w:t>.</w:t>
      </w:r>
      <w:r w:rsidR="00507663">
        <w:rPr>
          <w:b/>
        </w:rPr>
        <w:t>3</w:t>
      </w:r>
      <w:r>
        <w:rPr>
          <w:b/>
        </w:rPr>
        <w:t>.</w:t>
      </w:r>
      <w:r w:rsidRPr="00731592">
        <w:rPr>
          <w:b/>
        </w:rPr>
        <w:t xml:space="preserve"> </w:t>
      </w:r>
      <w:r w:rsidR="00D71BD2">
        <w:rPr>
          <w:b/>
        </w:rPr>
        <w:t xml:space="preserve">Financial </w:t>
      </w:r>
      <w:r w:rsidR="00366D2B">
        <w:rPr>
          <w:b/>
        </w:rPr>
        <w:t>Resources</w:t>
      </w:r>
      <w:r w:rsidR="00477931">
        <w:rPr>
          <w:b/>
        </w:rPr>
        <w:t xml:space="preserve"> </w:t>
      </w:r>
      <w:r w:rsidR="00BB4869">
        <w:rPr>
          <w:b/>
        </w:rPr>
        <w:t>and</w:t>
      </w:r>
      <w:r w:rsidR="00477931">
        <w:rPr>
          <w:b/>
        </w:rPr>
        <w:t xml:space="preserve"> </w:t>
      </w:r>
      <w:r w:rsidR="00984847">
        <w:rPr>
          <w:b/>
        </w:rPr>
        <w:t>High School Achievement</w:t>
      </w:r>
    </w:p>
    <w:p w:rsidR="00B328AB" w:rsidRDefault="00C6796D">
      <w:pPr>
        <w:spacing w:line="480" w:lineRule="auto"/>
      </w:pPr>
      <w:r>
        <w:t>Our result</w:t>
      </w:r>
      <w:r w:rsidR="00897FE2">
        <w:t xml:space="preserve">s thus far suggest that </w:t>
      </w:r>
      <w:r w:rsidR="00C56100">
        <w:t xml:space="preserve">parental financial resources </w:t>
      </w:r>
      <w:r>
        <w:t xml:space="preserve">play an important role </w:t>
      </w:r>
      <w:r w:rsidR="0027089F">
        <w:t xml:space="preserve">in the </w:t>
      </w:r>
      <w:r>
        <w:t>college attendance decision</w:t>
      </w:r>
      <w:r w:rsidR="00226B42">
        <w:t xml:space="preserve"> of the young adult</w:t>
      </w:r>
      <w:r w:rsidR="00494011">
        <w:t xml:space="preserve">, but of course, </w:t>
      </w:r>
      <w:r w:rsidR="0062247F">
        <w:t xml:space="preserve">one would also expect </w:t>
      </w:r>
      <w:r w:rsidR="00494011">
        <w:t xml:space="preserve">high school achievement </w:t>
      </w:r>
      <w:r w:rsidR="0062247F">
        <w:t>to be an</w:t>
      </w:r>
      <w:r w:rsidR="00494011">
        <w:t xml:space="preserve"> important</w:t>
      </w:r>
      <w:r w:rsidR="0062247F">
        <w:t xml:space="preserve"> factor</w:t>
      </w:r>
      <w:r w:rsidR="00D44203">
        <w:t xml:space="preserve"> as well</w:t>
      </w:r>
      <w:r w:rsidR="00494011">
        <w:t xml:space="preserve">.  </w:t>
      </w:r>
      <w:r w:rsidR="001B2B6A">
        <w:t>Although</w:t>
      </w:r>
      <w:r w:rsidR="00D43B0C">
        <w:t xml:space="preserve"> </w:t>
      </w:r>
      <w:r w:rsidR="001B2B6A">
        <w:t xml:space="preserve">our data </w:t>
      </w:r>
      <w:r w:rsidR="00226B42">
        <w:t xml:space="preserve">generally </w:t>
      </w:r>
      <w:r w:rsidR="001B2B6A">
        <w:t xml:space="preserve">have less information </w:t>
      </w:r>
      <w:r w:rsidR="00D43B0C">
        <w:t xml:space="preserve">about </w:t>
      </w:r>
      <w:r w:rsidR="00494011">
        <w:t>achievement</w:t>
      </w:r>
      <w:r w:rsidR="00D43B0C">
        <w:t xml:space="preserve"> than those used in other studies (which in turn lack high quality data on financial resources)</w:t>
      </w:r>
      <w:r w:rsidR="00126193">
        <w:t>,</w:t>
      </w:r>
      <w:r w:rsidR="00D43B0C">
        <w:t xml:space="preserve"> we </w:t>
      </w:r>
      <w:r w:rsidR="003F228E">
        <w:t xml:space="preserve">have some information </w:t>
      </w:r>
      <w:r w:rsidR="00126193">
        <w:t>for those PSID young adults who were surveyed in the TA Supplement.</w:t>
      </w:r>
      <w:r w:rsidR="0027089F">
        <w:t xml:space="preserve"> </w:t>
      </w:r>
      <w:r w:rsidR="003F228E">
        <w:t xml:space="preserve"> </w:t>
      </w:r>
      <w:r w:rsidR="0027089F">
        <w:t>For th</w:t>
      </w:r>
      <w:r w:rsidR="00C30D64">
        <w:t>e</w:t>
      </w:r>
      <w:r w:rsidR="0027089F">
        <w:t>se young adults</w:t>
      </w:r>
      <w:r w:rsidR="001E779E">
        <w:t>,</w:t>
      </w:r>
      <w:r w:rsidR="00D43B0C">
        <w:t xml:space="preserve"> </w:t>
      </w:r>
      <w:r w:rsidR="003E234D">
        <w:t>we have</w:t>
      </w:r>
      <w:r w:rsidR="00892BE7">
        <w:t xml:space="preserve"> </w:t>
      </w:r>
      <w:r w:rsidR="00C30D64">
        <w:t xml:space="preserve">self-reported </w:t>
      </w:r>
      <w:r w:rsidR="00892BE7">
        <w:t>information about high school GPA</w:t>
      </w:r>
      <w:r w:rsidR="003F228E">
        <w:t xml:space="preserve">, </w:t>
      </w:r>
      <w:r w:rsidR="00892BE7">
        <w:t>which we use as a measure of preparedness for college.</w:t>
      </w:r>
      <w:r w:rsidR="00D43B0C">
        <w:t xml:space="preserve"> </w:t>
      </w:r>
      <w:r w:rsidR="003F228E">
        <w:t xml:space="preserve"> </w:t>
      </w:r>
      <w:r w:rsidR="00D43B0C">
        <w:t xml:space="preserve">Because </w:t>
      </w:r>
      <w:r w:rsidR="001E779E">
        <w:t xml:space="preserve">GPA is only </w:t>
      </w:r>
      <w:r w:rsidR="003F7EAC">
        <w:t xml:space="preserve">collected </w:t>
      </w:r>
      <w:r w:rsidR="001E779E">
        <w:t xml:space="preserve">for those TA respondents who </w:t>
      </w:r>
      <w:r w:rsidR="00B30CF5" w:rsidRPr="003F228E">
        <w:t>completed</w:t>
      </w:r>
      <w:r w:rsidR="00B30CF5" w:rsidRPr="00B30CF5">
        <w:rPr>
          <w:i/>
        </w:rPr>
        <w:t xml:space="preserve"> </w:t>
      </w:r>
      <w:r w:rsidR="001E779E">
        <w:t>high school, our analysis is limited to th</w:t>
      </w:r>
      <w:r w:rsidR="003F228E">
        <w:t xml:space="preserve">ose respondents.  </w:t>
      </w:r>
      <w:r w:rsidR="00C7068F">
        <w:t>Table 1 provides descriptive statistics for this sample.</w:t>
      </w:r>
    </w:p>
    <w:p w:rsidR="00CF1F5D" w:rsidRDefault="003B3915" w:rsidP="006F2616">
      <w:pPr>
        <w:spacing w:line="480" w:lineRule="auto"/>
        <w:ind w:firstLine="720"/>
      </w:pPr>
      <w:r>
        <w:t xml:space="preserve">In </w:t>
      </w:r>
      <w:r w:rsidR="005D3F35">
        <w:t>Figure 5</w:t>
      </w:r>
      <w:r>
        <w:t xml:space="preserve">, </w:t>
      </w:r>
      <w:r w:rsidR="00D43D10">
        <w:t xml:space="preserve">we </w:t>
      </w:r>
      <w:r w:rsidR="0099296A">
        <w:t>examine</w:t>
      </w:r>
      <w:r w:rsidR="00D43D10">
        <w:t xml:space="preserve"> how </w:t>
      </w:r>
      <w:r w:rsidR="00D46F4E">
        <w:t xml:space="preserve">several </w:t>
      </w:r>
      <w:r w:rsidR="00D43D10">
        <w:t xml:space="preserve">college attendance </w:t>
      </w:r>
      <w:r w:rsidR="00D46F4E">
        <w:t>outcomes</w:t>
      </w:r>
      <w:r w:rsidR="00177709">
        <w:t xml:space="preserve"> vary</w:t>
      </w:r>
      <w:r w:rsidR="005D3F35">
        <w:t xml:space="preserve"> with income</w:t>
      </w:r>
      <w:r w:rsidR="00052E7D">
        <w:t xml:space="preserve"> by GPA </w:t>
      </w:r>
      <w:r w:rsidR="005D3F35">
        <w:t>tercile</w:t>
      </w:r>
      <w:r w:rsidR="00FF20A6">
        <w:t xml:space="preserve">. </w:t>
      </w:r>
      <w:r w:rsidR="005D3F35">
        <w:t xml:space="preserve">We divide GPA and financial resources by tercile rather than, say, quartile because of our small sample sizes.  </w:t>
      </w:r>
      <w:r w:rsidR="00052E7D">
        <w:t xml:space="preserve">We present results </w:t>
      </w:r>
      <w:r w:rsidR="005D3F35">
        <w:t xml:space="preserve">based on </w:t>
      </w:r>
      <w:proofErr w:type="spellStart"/>
      <w:r w:rsidR="005D3F35">
        <w:t>logit</w:t>
      </w:r>
      <w:proofErr w:type="spellEnd"/>
      <w:r w:rsidR="00AD2487">
        <w:t xml:space="preserve"> </w:t>
      </w:r>
      <w:r w:rsidR="005D3F35">
        <w:t>s</w:t>
      </w:r>
      <w:r w:rsidR="00AD2487">
        <w:t>pecifications</w:t>
      </w:r>
      <w:r w:rsidR="005D3F35">
        <w:t xml:space="preserve"> with income entered </w:t>
      </w:r>
      <w:r w:rsidR="005D3F35">
        <w:lastRenderedPageBreak/>
        <w:t>linearly and interacted with GPA tercile, graph</w:t>
      </w:r>
      <w:r w:rsidR="00324E03">
        <w:t>ing</w:t>
      </w:r>
      <w:r w:rsidR="005D3F35">
        <w:t xml:space="preserve"> the results for ease of interpretation</w:t>
      </w:r>
      <w:r w:rsidR="00324E03">
        <w:t xml:space="preserve">; </w:t>
      </w:r>
      <w:r w:rsidR="00F865C7">
        <w:t xml:space="preserve">the </w:t>
      </w:r>
      <w:r w:rsidR="00AD2487">
        <w:t xml:space="preserve">coefficient estimates from the logistic regression, </w:t>
      </w:r>
      <w:r w:rsidR="00324E03">
        <w:t xml:space="preserve">select </w:t>
      </w:r>
      <w:r w:rsidR="00F865C7">
        <w:t>predictions</w:t>
      </w:r>
      <w:r w:rsidR="00324E03">
        <w:t xml:space="preserve"> and their standard errors are </w:t>
      </w:r>
      <w:r w:rsidR="00382B0D">
        <w:t>presented</w:t>
      </w:r>
      <w:r w:rsidR="00324E03">
        <w:t xml:space="preserve"> in </w:t>
      </w:r>
      <w:r w:rsidR="00AD2487">
        <w:t xml:space="preserve">the </w:t>
      </w:r>
      <w:r w:rsidR="00324E03">
        <w:t xml:space="preserve">appendix table. </w:t>
      </w:r>
    </w:p>
    <w:p w:rsidR="005973F1" w:rsidRDefault="00297B8D" w:rsidP="006F2616">
      <w:pPr>
        <w:spacing w:line="480" w:lineRule="auto"/>
        <w:ind w:firstLine="720"/>
      </w:pPr>
      <w:r>
        <w:t>Panel A</w:t>
      </w:r>
      <w:r w:rsidR="00AD2487">
        <w:t xml:space="preserve"> of Figure 5</w:t>
      </w:r>
      <w:r>
        <w:t xml:space="preserve"> shows the results for whether the young adult is attending college at ages 19 or 20, </w:t>
      </w:r>
      <w:r w:rsidR="00B96579">
        <w:t xml:space="preserve">the same outcome examined in </w:t>
      </w:r>
      <w:r>
        <w:t>Figure 1</w:t>
      </w:r>
      <w:r w:rsidR="00FF20A6">
        <w:t>; college attendance rates are higher when compared to those in the previous sections because our TA sample</w:t>
      </w:r>
      <w:r w:rsidR="0062247F">
        <w:t xml:space="preserve"> </w:t>
      </w:r>
      <w:r w:rsidR="005027EA">
        <w:t xml:space="preserve">only </w:t>
      </w:r>
      <w:r w:rsidR="00FF20A6">
        <w:t>includes</w:t>
      </w:r>
      <w:r w:rsidR="0062247F">
        <w:t xml:space="preserve"> only those</w:t>
      </w:r>
      <w:r w:rsidR="00FF20A6">
        <w:t xml:space="preserve"> </w:t>
      </w:r>
      <w:r w:rsidR="005027EA">
        <w:t xml:space="preserve">young adults </w:t>
      </w:r>
      <w:r w:rsidR="0062247F">
        <w:t>who</w:t>
      </w:r>
      <w:r w:rsidR="005027EA">
        <w:t xml:space="preserve"> graduated from high school.  </w:t>
      </w:r>
      <w:r>
        <w:t xml:space="preserve"> </w:t>
      </w:r>
      <w:r w:rsidR="00AD2487">
        <w:t xml:space="preserve">Within each </w:t>
      </w:r>
      <w:r w:rsidR="00437224">
        <w:t xml:space="preserve">GPA tercile, </w:t>
      </w:r>
      <w:r w:rsidR="00AD2487">
        <w:t xml:space="preserve">college </w:t>
      </w:r>
      <w:r w:rsidR="00437224">
        <w:t>attendance increases with income</w:t>
      </w:r>
      <w:r w:rsidR="00C81A2B">
        <w:t>.  For example, focusing on the top GPA tercile, 68.2 percent of students at the 25</w:t>
      </w:r>
      <w:r w:rsidR="00C81A2B" w:rsidRPr="00C81A2B">
        <w:rPr>
          <w:vertAlign w:val="superscript"/>
        </w:rPr>
        <w:t>th</w:t>
      </w:r>
      <w:r w:rsidR="00C81A2B">
        <w:t xml:space="preserve"> percentile of income</w:t>
      </w:r>
      <w:r w:rsidR="00AB57D7">
        <w:t xml:space="preserve"> attend college, but 85.7 </w:t>
      </w:r>
      <w:r w:rsidR="00D32D6A">
        <w:t>of students at the 75</w:t>
      </w:r>
      <w:r w:rsidR="00D32D6A" w:rsidRPr="00D32D6A">
        <w:rPr>
          <w:vertAlign w:val="superscript"/>
        </w:rPr>
        <w:t>th</w:t>
      </w:r>
      <w:r w:rsidR="00185DC7">
        <w:t xml:space="preserve"> percentile of income do.</w:t>
      </w:r>
      <w:r w:rsidR="00635CE3">
        <w:t xml:space="preserve">  Attendance still increases with income for the bottom GPA tercile, but to a lesser extent: from 57.2 percent at the 25</w:t>
      </w:r>
      <w:r w:rsidR="00635CE3" w:rsidRPr="00635CE3">
        <w:rPr>
          <w:vertAlign w:val="superscript"/>
        </w:rPr>
        <w:t>th</w:t>
      </w:r>
      <w:r w:rsidR="00635CE3">
        <w:t xml:space="preserve"> percentile of income to 67.4 percent at the 75</w:t>
      </w:r>
      <w:r w:rsidR="00635CE3" w:rsidRPr="00635CE3">
        <w:rPr>
          <w:vertAlign w:val="superscript"/>
        </w:rPr>
        <w:t>th</w:t>
      </w:r>
      <w:r w:rsidR="00635CE3">
        <w:t xml:space="preserve"> percentile.</w:t>
      </w:r>
    </w:p>
    <w:p w:rsidR="009D04EB" w:rsidRDefault="00CB331D" w:rsidP="006F2616">
      <w:pPr>
        <w:spacing w:line="480" w:lineRule="auto"/>
        <w:ind w:firstLine="720"/>
      </w:pPr>
      <w:r>
        <w:t xml:space="preserve">These relationships in Panel A can be viewed from other angles that are </w:t>
      </w:r>
      <w:r w:rsidR="007D4DAF">
        <w:t>similarly</w:t>
      </w:r>
      <w:r>
        <w:t xml:space="preserve"> instructive</w:t>
      </w:r>
      <w:r w:rsidR="00FC6246">
        <w:t xml:space="preserve"> regarding the importance of income for college attendance</w:t>
      </w:r>
      <w:r>
        <w:t xml:space="preserve">.  </w:t>
      </w:r>
      <w:r w:rsidR="00FC6246">
        <w:t>For example</w:t>
      </w:r>
      <w:r>
        <w:t xml:space="preserve">, </w:t>
      </w:r>
      <w:r w:rsidR="00185DC7">
        <w:t>at low income levels, GPA t</w:t>
      </w:r>
      <w:r w:rsidR="00041EB8">
        <w:t xml:space="preserve">ends to have </w:t>
      </w:r>
      <w:r w:rsidR="00185DC7">
        <w:t>little</w:t>
      </w:r>
      <w:r w:rsidR="00041EB8">
        <w:t xml:space="preserve"> correlation with income</w:t>
      </w:r>
      <w:r w:rsidR="0051365A">
        <w:t>:  college attendance is very similar for all GPA curves at the 25</w:t>
      </w:r>
      <w:r w:rsidR="0051365A" w:rsidRPr="0051365A">
        <w:rPr>
          <w:vertAlign w:val="superscript"/>
        </w:rPr>
        <w:t>th</w:t>
      </w:r>
      <w:r w:rsidR="0051365A">
        <w:t xml:space="preserve"> percentile of income</w:t>
      </w:r>
      <w:r w:rsidR="006819C5" w:rsidRPr="00185DC7">
        <w:t>.</w:t>
      </w:r>
      <w:r>
        <w:t xml:space="preserve">  </w:t>
      </w:r>
      <w:r w:rsidR="00C821D5">
        <w:t>In addition</w:t>
      </w:r>
      <w:r>
        <w:t>, the association between college attendance and income is strong enough that the highest resource/lowest achieving young adults are substantially more likely to attend college than are the lowest resource/highest achieving young adults.</w:t>
      </w:r>
      <w:r w:rsidR="00BD79F2">
        <w:rPr>
          <w:rStyle w:val="FootnoteReference"/>
        </w:rPr>
        <w:footnoteReference w:id="20"/>
      </w:r>
      <w:r w:rsidR="006819C5">
        <w:t xml:space="preserve">  </w:t>
      </w:r>
      <w:r w:rsidR="001F5F63">
        <w:t xml:space="preserve"> </w:t>
      </w:r>
    </w:p>
    <w:p w:rsidR="008D287A" w:rsidRDefault="00C02271" w:rsidP="006F2616">
      <w:pPr>
        <w:spacing w:line="480" w:lineRule="auto"/>
        <w:ind w:firstLine="720"/>
      </w:pPr>
      <w:r>
        <w:t xml:space="preserve">In the remaining panels of Figure </w:t>
      </w:r>
      <w:r w:rsidR="00113A8D">
        <w:t xml:space="preserve">5, we </w:t>
      </w:r>
      <w:r w:rsidR="00EA79DD">
        <w:t>look instead at fulltime attendance (panel B) and fulltime</w:t>
      </w:r>
      <w:r w:rsidR="005C5E95">
        <w:t>/</w:t>
      </w:r>
      <w:r w:rsidR="00EA79DD">
        <w:t>four</w:t>
      </w:r>
      <w:r w:rsidR="005C5E95">
        <w:t>-</w:t>
      </w:r>
      <w:r w:rsidR="00EA79DD">
        <w:t xml:space="preserve">year attendance (panel C). </w:t>
      </w:r>
      <w:r w:rsidR="00565F8A">
        <w:t>Two striking patter</w:t>
      </w:r>
      <w:r w:rsidR="004F5640">
        <w:t>ns emerge</w:t>
      </w:r>
      <w:r w:rsidR="00C20958">
        <w:t xml:space="preserve">.  First, the </w:t>
      </w:r>
      <w:r w:rsidR="000D6CBC">
        <w:t xml:space="preserve">positive </w:t>
      </w:r>
      <w:r w:rsidR="00C20958">
        <w:t xml:space="preserve">gradient </w:t>
      </w:r>
      <w:r w:rsidR="000D6CBC">
        <w:t xml:space="preserve">with income exists </w:t>
      </w:r>
      <w:r w:rsidR="00C20958">
        <w:t xml:space="preserve">for the top two GPA </w:t>
      </w:r>
      <w:proofErr w:type="spellStart"/>
      <w:r w:rsidR="00C20958">
        <w:t>terciles</w:t>
      </w:r>
      <w:proofErr w:type="spellEnd"/>
      <w:r w:rsidR="00C20958">
        <w:t>, but not for the bottom GPA tercile.  For example, moving from the 25</w:t>
      </w:r>
      <w:r w:rsidR="00C20958" w:rsidRPr="00C20958">
        <w:rPr>
          <w:vertAlign w:val="superscript"/>
        </w:rPr>
        <w:t>th</w:t>
      </w:r>
      <w:r w:rsidR="00C20958">
        <w:t xml:space="preserve"> percentile to the 75</w:t>
      </w:r>
      <w:r w:rsidR="00C20958" w:rsidRPr="00C20958">
        <w:rPr>
          <w:vertAlign w:val="superscript"/>
        </w:rPr>
        <w:t>th</w:t>
      </w:r>
      <w:r w:rsidR="00C20958">
        <w:t xml:space="preserve"> percentile increases fulltime attendance </w:t>
      </w:r>
      <w:r w:rsidR="00C20958">
        <w:lastRenderedPageBreak/>
        <w:t>from 49.5 to 78.4 percent for those students in the top GPA tercile, but only from 45.4 to 49.4 for those students in bottom GPA tercile</w:t>
      </w:r>
      <w:r w:rsidR="00070E2C">
        <w:t>.</w:t>
      </w:r>
      <w:r w:rsidR="0062247F">
        <w:rPr>
          <w:rStyle w:val="FootnoteReference"/>
        </w:rPr>
        <w:footnoteReference w:id="21"/>
      </w:r>
      <w:r w:rsidR="00070E2C">
        <w:t xml:space="preserve">  </w:t>
      </w:r>
      <w:r w:rsidR="00DD0972">
        <w:t>Second, at the lowest levels of income, GPA has very little association with college outcome variables.  I</w:t>
      </w:r>
      <w:r w:rsidR="00070E2C">
        <w:t>n fact, at the income levels around the 25</w:t>
      </w:r>
      <w:r w:rsidR="00070E2C" w:rsidRPr="00070E2C">
        <w:rPr>
          <w:vertAlign w:val="superscript"/>
        </w:rPr>
        <w:t>th</w:t>
      </w:r>
      <w:r w:rsidR="00070E2C">
        <w:t xml:space="preserve"> percentile, fulltime college attendance is </w:t>
      </w:r>
      <w:r w:rsidR="00F63757">
        <w:t xml:space="preserve">basically equal for </w:t>
      </w:r>
      <w:r w:rsidR="00DD0972">
        <w:t xml:space="preserve">the </w:t>
      </w:r>
      <w:r w:rsidR="00F63757">
        <w:t xml:space="preserve">top </w:t>
      </w:r>
      <w:r w:rsidR="00DD0972">
        <w:t xml:space="preserve">and bottom </w:t>
      </w:r>
      <w:r w:rsidR="00F63757">
        <w:t>GPA tercile students</w:t>
      </w:r>
      <w:r w:rsidR="00524800">
        <w:t xml:space="preserve"> (49.5 versus 45.4 percent</w:t>
      </w:r>
      <w:r w:rsidR="00DD0972">
        <w:t>, respectively</w:t>
      </w:r>
      <w:r w:rsidR="00524800">
        <w:t>)</w:t>
      </w:r>
      <w:r w:rsidR="00F63757">
        <w:t xml:space="preserve">.  </w:t>
      </w:r>
      <w:r w:rsidR="00C20958">
        <w:t xml:space="preserve">Both of these findings </w:t>
      </w:r>
      <w:r w:rsidR="00EA79DD">
        <w:t>hold in general when examining</w:t>
      </w:r>
      <w:r w:rsidR="00C20958">
        <w:t xml:space="preserve"> fulltime</w:t>
      </w:r>
      <w:r w:rsidR="00EA79DD">
        <w:t xml:space="preserve"> attendance</w:t>
      </w:r>
      <w:r w:rsidR="00C20958">
        <w:t xml:space="preserve"> at a 4-year institution.</w:t>
      </w:r>
    </w:p>
    <w:p w:rsidR="003B3915" w:rsidRDefault="006C28B2" w:rsidP="006F2616">
      <w:pPr>
        <w:spacing w:line="480" w:lineRule="auto"/>
        <w:ind w:firstLine="720"/>
      </w:pPr>
      <w:r w:rsidRPr="007D548C">
        <w:t xml:space="preserve">Finally, in </w:t>
      </w:r>
      <w:r w:rsidR="00BB7636" w:rsidRPr="007D548C">
        <w:t xml:space="preserve">Figure </w:t>
      </w:r>
      <w:r w:rsidR="0069773B">
        <w:t>6</w:t>
      </w:r>
      <w:r w:rsidR="00BB7636" w:rsidRPr="007D548C">
        <w:t xml:space="preserve">, we show the robustness of </w:t>
      </w:r>
      <w:r w:rsidR="006F1E24">
        <w:t>our results for any attendance to a variety of alternative specifications</w:t>
      </w:r>
      <w:r w:rsidR="006F1E24">
        <w:tab/>
        <w:t xml:space="preserve">Panel A1 of Figure 6 replicates the results from Panel </w:t>
      </w:r>
      <w:proofErr w:type="gramStart"/>
      <w:r w:rsidR="006F1E24">
        <w:t>A</w:t>
      </w:r>
      <w:proofErr w:type="gramEnd"/>
      <w:r w:rsidR="006F1E24">
        <w:t xml:space="preserve"> of Figure 5, which uses income as the measure of financial resources and specifies income to be a linear function interacted with GPA </w:t>
      </w:r>
      <w:proofErr w:type="spellStart"/>
      <w:r w:rsidR="006F1E24">
        <w:t>terciles</w:t>
      </w:r>
      <w:proofErr w:type="spellEnd"/>
      <w:r w:rsidR="006F1E24">
        <w:t xml:space="preserve">.  Panel </w:t>
      </w:r>
      <w:r w:rsidR="004654CF">
        <w:t>B1</w:t>
      </w:r>
      <w:r w:rsidR="006F1E24">
        <w:t xml:space="preserve"> instead specifies income </w:t>
      </w:r>
      <w:r w:rsidR="009E2F63">
        <w:t>to be a quadratic function.  This change lea</w:t>
      </w:r>
      <w:r w:rsidR="00FC44BD">
        <w:t xml:space="preserve">ds to an inverted U-shaped pattern between attendance and income, but </w:t>
      </w:r>
      <w:r w:rsidR="00FC44BD" w:rsidRPr="007D548C">
        <w:t>based on examinations of the full data, it appears that these initial increases and later declines are somewhat steeper than what is in the underlying data</w:t>
      </w:r>
      <w:r w:rsidR="00FC44BD">
        <w:t xml:space="preserve">.  Panels </w:t>
      </w:r>
      <w:r w:rsidR="003677CD">
        <w:t>A2</w:t>
      </w:r>
      <w:r w:rsidR="00FC44BD">
        <w:t xml:space="preserve"> and B2 are similar to </w:t>
      </w:r>
      <w:r w:rsidR="003677CD">
        <w:t>B</w:t>
      </w:r>
      <w:r w:rsidR="00FC44BD">
        <w:t xml:space="preserve">1 and </w:t>
      </w:r>
      <w:r w:rsidR="003677CD">
        <w:t>B</w:t>
      </w:r>
      <w:r w:rsidR="00FC44BD">
        <w:t>2, respectively, but instead use wealth as the measure of financial resources.  The results are very similar whether income or wealth is used.</w:t>
      </w:r>
      <w:r w:rsidR="00531741">
        <w:t xml:space="preserve">  The final two </w:t>
      </w:r>
      <w:r w:rsidR="006267B1">
        <w:t xml:space="preserve">panels show results from estimating a single model that includes income and wealth, each interacted with GPA </w:t>
      </w:r>
      <w:proofErr w:type="spellStart"/>
      <w:r w:rsidR="006267B1">
        <w:t>terciles</w:t>
      </w:r>
      <w:proofErr w:type="spellEnd"/>
      <w:r w:rsidR="006267B1">
        <w:t xml:space="preserve">; panel C1 shows the income results and panel C2 shows the wealth results.  </w:t>
      </w:r>
      <w:r w:rsidR="00A70042">
        <w:t>Once again, the</w:t>
      </w:r>
      <w:r w:rsidR="006267B1">
        <w:t>se</w:t>
      </w:r>
      <w:r w:rsidR="00A70042">
        <w:t xml:space="preserve"> results are broadly </w:t>
      </w:r>
      <w:r w:rsidR="006267B1">
        <w:t>the same</w:t>
      </w:r>
      <w:r w:rsidR="00A70042">
        <w:t xml:space="preserve">:  </w:t>
      </w:r>
      <w:r w:rsidR="003B6A5B">
        <w:t xml:space="preserve">income and </w:t>
      </w:r>
      <w:r w:rsidR="00DC0817">
        <w:t>wealth</w:t>
      </w:r>
      <w:r w:rsidR="003B6A5B">
        <w:t xml:space="preserve"> matter most for the top two GPA </w:t>
      </w:r>
      <w:proofErr w:type="spellStart"/>
      <w:r w:rsidR="003B6A5B">
        <w:t>terciles</w:t>
      </w:r>
      <w:proofErr w:type="spellEnd"/>
      <w:r w:rsidR="003B6A5B">
        <w:t>, and GPA matters very little for young adults from households with few financial resources.</w:t>
      </w:r>
      <w:r w:rsidR="00BB7636" w:rsidRPr="007D548C">
        <w:t xml:space="preserve">  </w:t>
      </w:r>
    </w:p>
    <w:p w:rsidR="00893141" w:rsidRPr="007D548C" w:rsidRDefault="00893141" w:rsidP="00893141">
      <w:pPr>
        <w:spacing w:line="480" w:lineRule="auto"/>
      </w:pPr>
    </w:p>
    <w:p w:rsidR="00893141" w:rsidRPr="007D548C" w:rsidRDefault="00893141" w:rsidP="00893141">
      <w:pPr>
        <w:spacing w:line="360" w:lineRule="auto"/>
        <w:rPr>
          <w:b/>
        </w:rPr>
      </w:pPr>
      <w:r w:rsidRPr="007D548C">
        <w:rPr>
          <w:b/>
        </w:rPr>
        <w:t>5. Summary and Discussion</w:t>
      </w:r>
    </w:p>
    <w:p w:rsidR="00335C50" w:rsidRDefault="002F3DCB" w:rsidP="009F3A6D">
      <w:pPr>
        <w:spacing w:line="480" w:lineRule="auto"/>
      </w:pPr>
      <w:r w:rsidRPr="009F3A6D">
        <w:lastRenderedPageBreak/>
        <w:t>In this paper, we provide evidence about</w:t>
      </w:r>
      <w:r w:rsidR="00DB6167" w:rsidRPr="009F3A6D">
        <w:t xml:space="preserve"> the relationship between</w:t>
      </w:r>
      <w:r w:rsidRPr="009F3A6D">
        <w:t xml:space="preserve"> </w:t>
      </w:r>
      <w:r w:rsidR="00FF0E73" w:rsidRPr="009F3A6D">
        <w:t xml:space="preserve">post-secondary schooling </w:t>
      </w:r>
      <w:r w:rsidR="00DB6167" w:rsidRPr="009F3A6D">
        <w:t xml:space="preserve">and </w:t>
      </w:r>
      <w:r w:rsidRPr="009F3A6D">
        <w:t xml:space="preserve">the income and </w:t>
      </w:r>
      <w:r w:rsidR="00DC0817">
        <w:t>wealth</w:t>
      </w:r>
      <w:r w:rsidRPr="009F3A6D">
        <w:t xml:space="preserve"> of </w:t>
      </w:r>
      <w:r w:rsidR="007E7ECE">
        <w:t>a</w:t>
      </w:r>
      <w:r w:rsidR="008C415F" w:rsidRPr="009F3A6D">
        <w:t xml:space="preserve"> potential attendee’s</w:t>
      </w:r>
      <w:r w:rsidRPr="009F3A6D">
        <w:t xml:space="preserve"> parents</w:t>
      </w:r>
      <w:r w:rsidR="007E7ECE">
        <w:t xml:space="preserve">. </w:t>
      </w:r>
      <w:r w:rsidR="003A1A21">
        <w:t>Our findings</w:t>
      </w:r>
      <w:r w:rsidR="00C56BA5">
        <w:t xml:space="preserve"> </w:t>
      </w:r>
      <w:r w:rsidR="000A1BA4">
        <w:t xml:space="preserve">indicate that </w:t>
      </w:r>
      <w:r w:rsidR="00C56BA5">
        <w:t xml:space="preserve">the association between the </w:t>
      </w:r>
      <w:r w:rsidR="00C54D7C">
        <w:t>financial resources</w:t>
      </w:r>
      <w:r w:rsidR="00C56BA5">
        <w:t xml:space="preserve"> of parents and the </w:t>
      </w:r>
      <w:r w:rsidR="00EC7D89">
        <w:t>post-secondary schooling</w:t>
      </w:r>
      <w:r w:rsidR="00D723FC">
        <w:t>, or college</w:t>
      </w:r>
      <w:r w:rsidR="007E7ECE">
        <w:t xml:space="preserve"> attendance</w:t>
      </w:r>
      <w:r w:rsidR="00D723FC">
        <w:t>,</w:t>
      </w:r>
      <w:r w:rsidR="00C54D7C">
        <w:t xml:space="preserve"> </w:t>
      </w:r>
      <w:r w:rsidR="00C56BA5">
        <w:t xml:space="preserve">of their children is pervasive.  </w:t>
      </w:r>
      <w:r w:rsidR="007E7ECE">
        <w:t>T</w:t>
      </w:r>
      <w:r w:rsidR="00C56BA5">
        <w:t xml:space="preserve">he association is strong and </w:t>
      </w:r>
      <w:r w:rsidR="00A1391C">
        <w:t xml:space="preserve">fairly </w:t>
      </w:r>
      <w:r w:rsidR="00C56BA5">
        <w:t>constant between the 10</w:t>
      </w:r>
      <w:r w:rsidR="00C56BA5" w:rsidRPr="00C56BA5">
        <w:rPr>
          <w:vertAlign w:val="superscript"/>
        </w:rPr>
        <w:t>th</w:t>
      </w:r>
      <w:r w:rsidR="00C56BA5">
        <w:t xml:space="preserve"> and 90</w:t>
      </w:r>
      <w:r w:rsidR="00C56BA5" w:rsidRPr="00C56BA5">
        <w:rPr>
          <w:vertAlign w:val="superscript"/>
        </w:rPr>
        <w:t>th</w:t>
      </w:r>
      <w:r w:rsidR="00C56BA5">
        <w:t xml:space="preserve"> percentile of the income </w:t>
      </w:r>
      <w:r w:rsidR="00DB6167">
        <w:t xml:space="preserve">distribution </w:t>
      </w:r>
      <w:r w:rsidR="00C56BA5">
        <w:t>and between the 10</w:t>
      </w:r>
      <w:r w:rsidR="00C56BA5" w:rsidRPr="00C56BA5">
        <w:rPr>
          <w:vertAlign w:val="superscript"/>
        </w:rPr>
        <w:t>th</w:t>
      </w:r>
      <w:r w:rsidR="00C56BA5">
        <w:t xml:space="preserve"> and </w:t>
      </w:r>
      <w:r w:rsidR="00DB6167">
        <w:t>75</w:t>
      </w:r>
      <w:r w:rsidR="00DB6167" w:rsidRPr="006562C9">
        <w:rPr>
          <w:vertAlign w:val="superscript"/>
        </w:rPr>
        <w:t>th</w:t>
      </w:r>
      <w:r w:rsidR="00DB6167">
        <w:t xml:space="preserve"> percentile</w:t>
      </w:r>
      <w:r w:rsidR="00C56BA5">
        <w:t xml:space="preserve"> of the </w:t>
      </w:r>
      <w:r w:rsidR="00DC0817">
        <w:t>wealth</w:t>
      </w:r>
      <w:r w:rsidR="00C56BA5">
        <w:t xml:space="preserve"> distribution, </w:t>
      </w:r>
      <w:r w:rsidR="007E7ECE">
        <w:t xml:space="preserve">and holds </w:t>
      </w:r>
      <w:r w:rsidR="00C56BA5">
        <w:t xml:space="preserve">even </w:t>
      </w:r>
      <w:r w:rsidR="007E7ECE">
        <w:t>when we</w:t>
      </w:r>
      <w:r w:rsidR="00C56BA5">
        <w:t xml:space="preserve"> control</w:t>
      </w:r>
      <w:r w:rsidR="007E7ECE">
        <w:t xml:space="preserve"> </w:t>
      </w:r>
      <w:r w:rsidR="00C56BA5">
        <w:t xml:space="preserve">for </w:t>
      </w:r>
      <w:r w:rsidR="007E7ECE">
        <w:t>both financial measure</w:t>
      </w:r>
      <w:r w:rsidR="0062247F">
        <w:t>s</w:t>
      </w:r>
      <w:r w:rsidR="007E7ECE">
        <w:t xml:space="preserve"> simultaneously </w:t>
      </w:r>
      <w:r w:rsidR="00C56BA5">
        <w:t xml:space="preserve">and </w:t>
      </w:r>
      <w:r w:rsidR="007E7ECE">
        <w:t xml:space="preserve">for </w:t>
      </w:r>
      <w:r w:rsidR="00C56BA5">
        <w:t>several other parental characteristics</w:t>
      </w:r>
      <w:r w:rsidR="0062247F">
        <w:t xml:space="preserve"> thought to </w:t>
      </w:r>
      <w:r w:rsidR="00886ACC">
        <w:t>effect</w:t>
      </w:r>
      <w:r w:rsidR="0062247F">
        <w:t xml:space="preserve"> schooling outcomes</w:t>
      </w:r>
      <w:r w:rsidR="00C56BA5">
        <w:t xml:space="preserve">.  </w:t>
      </w:r>
      <w:r w:rsidR="007E7ECE">
        <w:t>N</w:t>
      </w:r>
      <w:r w:rsidR="00B85259">
        <w:t xml:space="preserve">ot only is there a strong association between resources and </w:t>
      </w:r>
      <w:r w:rsidR="002B13EC">
        <w:t>post-secondary schooling</w:t>
      </w:r>
      <w:r w:rsidR="00B85259">
        <w:t xml:space="preserve">, but there is also a strong association between resources and </w:t>
      </w:r>
      <w:r w:rsidR="00080232" w:rsidRPr="00871332">
        <w:t>completing</w:t>
      </w:r>
      <w:r w:rsidR="00080232" w:rsidRPr="00080232">
        <w:rPr>
          <w:i/>
        </w:rPr>
        <w:t xml:space="preserve"> </w:t>
      </w:r>
      <w:r w:rsidR="007E7ECE">
        <w:t xml:space="preserve">four years of </w:t>
      </w:r>
      <w:r w:rsidR="00DB6167">
        <w:t xml:space="preserve">college </w:t>
      </w:r>
      <w:r w:rsidR="00B85259">
        <w:t xml:space="preserve">among those who </w:t>
      </w:r>
      <w:r w:rsidR="007E7ECE">
        <w:t xml:space="preserve">do </w:t>
      </w:r>
      <w:r w:rsidR="00B85259">
        <w:t xml:space="preserve">attend.  </w:t>
      </w:r>
      <w:r w:rsidR="00DB6167">
        <w:t xml:space="preserve"> </w:t>
      </w:r>
      <w:r w:rsidR="00B85259">
        <w:t xml:space="preserve">Finally, </w:t>
      </w:r>
      <w:r w:rsidR="00335C50">
        <w:t xml:space="preserve">this </w:t>
      </w:r>
      <w:r w:rsidR="007E7ECE">
        <w:t>relationship</w:t>
      </w:r>
      <w:r w:rsidR="00335C50">
        <w:t xml:space="preserve"> can be observed at all levels of high school achievement</w:t>
      </w:r>
      <w:r w:rsidR="007E7ECE">
        <w:t xml:space="preserve"> as measured by high school GPA</w:t>
      </w:r>
      <w:r w:rsidR="00335C50">
        <w:t xml:space="preserve">.  For example, for all </w:t>
      </w:r>
      <w:proofErr w:type="spellStart"/>
      <w:r w:rsidR="00335C50">
        <w:t>terciles</w:t>
      </w:r>
      <w:proofErr w:type="spellEnd"/>
      <w:r w:rsidR="00335C50">
        <w:t xml:space="preserve"> of GPA, </w:t>
      </w:r>
      <w:r w:rsidR="00B85259">
        <w:t xml:space="preserve">we </w:t>
      </w:r>
      <w:r w:rsidR="00335C50">
        <w:t xml:space="preserve">find that </w:t>
      </w:r>
      <w:r w:rsidR="00721EB4">
        <w:t>post-secondary schooling</w:t>
      </w:r>
      <w:r w:rsidR="00335C50">
        <w:t xml:space="preserve"> increases with parental resources.  This association is strong enough that the rate of college attendance for the highest resource/lowest achievement young adults was substantially higher than for the lowest resource/highest achievement young adults.  </w:t>
      </w:r>
    </w:p>
    <w:p w:rsidR="002D64EC" w:rsidRDefault="002D64EC" w:rsidP="00360A44">
      <w:pPr>
        <w:spacing w:line="480" w:lineRule="auto"/>
        <w:ind w:firstLine="720"/>
      </w:pPr>
      <w:r>
        <w:t xml:space="preserve">We also </w:t>
      </w:r>
      <w:r w:rsidR="005F1950">
        <w:t>examin</w:t>
      </w:r>
      <w:r>
        <w:t xml:space="preserve">ed the associations between </w:t>
      </w:r>
      <w:r w:rsidR="00F94547">
        <w:t>post-secondary schooling</w:t>
      </w:r>
      <w:r>
        <w:t xml:space="preserve"> and other socio-demographic characteristics </w:t>
      </w:r>
      <w:r w:rsidR="00815C17">
        <w:t>with</w:t>
      </w:r>
      <w:r>
        <w:t xml:space="preserve"> empirical models that jointly included the socio-demographic characteristics and our high quality measures of income and </w:t>
      </w:r>
      <w:r w:rsidR="00DC0817">
        <w:t>wealth</w:t>
      </w:r>
      <w:r>
        <w:t xml:space="preserve">.  </w:t>
      </w:r>
      <w:r w:rsidR="005F1950">
        <w:t>I</w:t>
      </w:r>
      <w:r w:rsidR="00592B7A">
        <w:t>n</w:t>
      </w:r>
      <w:r w:rsidR="00B50610">
        <w:t>c</w:t>
      </w:r>
      <w:r w:rsidR="00592B7A">
        <w:t xml:space="preserve">ome and </w:t>
      </w:r>
      <w:r w:rsidR="00DC0817">
        <w:t>wealth</w:t>
      </w:r>
      <w:r>
        <w:t xml:space="preserve"> continued to be significant predictors of </w:t>
      </w:r>
      <w:r w:rsidR="009B6B4C">
        <w:t>post-secondary schooling</w:t>
      </w:r>
      <w:r>
        <w:t>,</w:t>
      </w:r>
      <w:r w:rsidR="00592B7A">
        <w:t xml:space="preserve"> </w:t>
      </w:r>
      <w:r w:rsidR="005F1950">
        <w:t>as did the education level of the head</w:t>
      </w:r>
      <w:r w:rsidR="00B32783">
        <w:t xml:space="preserve">. </w:t>
      </w:r>
      <w:r w:rsidR="00A6099A">
        <w:t xml:space="preserve"> </w:t>
      </w:r>
      <w:r w:rsidR="005F1950">
        <w:t>The negative association with female headship was substantially reduced</w:t>
      </w:r>
      <w:r w:rsidR="00871332">
        <w:t>.</w:t>
      </w:r>
      <w:r w:rsidR="00BB59A5">
        <w:t xml:space="preserve">  We also found </w:t>
      </w:r>
      <w:r w:rsidR="005F1950">
        <w:t>no significant difference in attendance between young adults who come from black- versus white-headed households</w:t>
      </w:r>
      <w:r w:rsidR="006D3D57">
        <w:t xml:space="preserve"> when financial resources were included in the model</w:t>
      </w:r>
      <w:r w:rsidR="00A75DDF">
        <w:t>, and children</w:t>
      </w:r>
      <w:r w:rsidR="00322C11">
        <w:t xml:space="preserve"> from</w:t>
      </w:r>
      <w:r w:rsidR="00A75DDF">
        <w:t xml:space="preserve"> Hispanic </w:t>
      </w:r>
      <w:r w:rsidR="00322C11">
        <w:t xml:space="preserve">were </w:t>
      </w:r>
      <w:r w:rsidR="00080232" w:rsidRPr="00322C11">
        <w:t>more</w:t>
      </w:r>
      <w:r w:rsidR="00A75DDF" w:rsidRPr="00322C11">
        <w:t xml:space="preserve"> </w:t>
      </w:r>
      <w:r w:rsidR="00A75DDF">
        <w:t xml:space="preserve">likely to </w:t>
      </w:r>
      <w:r w:rsidR="00B5493C">
        <w:t>obtain post-secondary schooling</w:t>
      </w:r>
      <w:r w:rsidR="00322C11">
        <w:t>.</w:t>
      </w:r>
      <w:r w:rsidR="00592B7A">
        <w:t xml:space="preserve"> </w:t>
      </w:r>
    </w:p>
    <w:p w:rsidR="00001845" w:rsidRDefault="00360A44" w:rsidP="00360A44">
      <w:pPr>
        <w:spacing w:line="480" w:lineRule="auto"/>
        <w:ind w:firstLine="720"/>
      </w:pPr>
      <w:r>
        <w:lastRenderedPageBreak/>
        <w:t xml:space="preserve">It is important to note that our results are only suggestive regarding </w:t>
      </w:r>
      <w:r w:rsidR="00001845">
        <w:t>the important</w:t>
      </w:r>
      <w:r w:rsidR="00E224C1">
        <w:t xml:space="preserve"> economic question regarding</w:t>
      </w:r>
      <w:r w:rsidR="00515103">
        <w:t xml:space="preserve"> the extent to which</w:t>
      </w:r>
      <w:r w:rsidR="00E224C1">
        <w:t xml:space="preserve"> </w:t>
      </w:r>
      <w:r>
        <w:t xml:space="preserve">credit constraints affect </w:t>
      </w:r>
      <w:r w:rsidR="00E83802">
        <w:t>post-secondary schooling</w:t>
      </w:r>
      <w:r>
        <w:t xml:space="preserve">.  </w:t>
      </w:r>
      <w:r w:rsidR="00815C17">
        <w:t>O</w:t>
      </w:r>
      <w:r>
        <w:t xml:space="preserve">ur results cannot speak to this </w:t>
      </w:r>
      <w:r w:rsidR="00374A28">
        <w:t xml:space="preserve">question </w:t>
      </w:r>
      <w:r>
        <w:t>directly</w:t>
      </w:r>
      <w:r w:rsidR="00815C17">
        <w:t xml:space="preserve"> because</w:t>
      </w:r>
      <w:r>
        <w:t xml:space="preserve"> we do not have information about the actual college costs for the young adults after various forms of financial aid </w:t>
      </w:r>
      <w:r w:rsidR="006B535E">
        <w:t>are</w:t>
      </w:r>
      <w:r>
        <w:t xml:space="preserve"> taken into account</w:t>
      </w:r>
      <w:r w:rsidR="001C0AC6">
        <w:t xml:space="preserve">, nor have </w:t>
      </w:r>
      <w:r w:rsidR="006230F7">
        <w:t xml:space="preserve">we </w:t>
      </w:r>
      <w:r w:rsidR="00E54C5A">
        <w:t xml:space="preserve">modeled </w:t>
      </w:r>
      <w:r w:rsidR="001C0AC6">
        <w:t>the decision to attend college</w:t>
      </w:r>
      <w:r>
        <w:t>.</w:t>
      </w:r>
      <w:r w:rsidR="002643B0">
        <w:t xml:space="preserve">  However, a </w:t>
      </w:r>
      <w:r w:rsidR="00F408C3">
        <w:t>simple</w:t>
      </w:r>
      <w:r w:rsidR="002643B0">
        <w:t xml:space="preserve"> model of credit constraints</w:t>
      </w:r>
      <w:r w:rsidR="00F408C3">
        <w:t xml:space="preserve"> </w:t>
      </w:r>
      <w:r w:rsidR="00FD3FE8">
        <w:t>is likely to</w:t>
      </w:r>
      <w:r w:rsidR="00F408C3">
        <w:t xml:space="preserve"> be insufficient to explain our findings.  </w:t>
      </w:r>
      <w:r w:rsidR="00FD3FE8">
        <w:t xml:space="preserve">Specifically, </w:t>
      </w:r>
      <w:r w:rsidR="00F408C3">
        <w:t xml:space="preserve">we find that attendance </w:t>
      </w:r>
      <w:r w:rsidR="00592B7A">
        <w:t xml:space="preserve">continues to </w:t>
      </w:r>
      <w:r w:rsidR="00F408C3">
        <w:t xml:space="preserve">increases with income </w:t>
      </w:r>
      <w:r w:rsidR="00FD3FE8">
        <w:t xml:space="preserve">(through $150,000 in the PSID and through $200,000 in the HRS) and </w:t>
      </w:r>
      <w:r w:rsidR="00DC0817">
        <w:t>wealth</w:t>
      </w:r>
      <w:r w:rsidR="00FD3FE8">
        <w:t xml:space="preserve"> (through $200,000 in the PSID and through $350,000 in the HRS) </w:t>
      </w:r>
      <w:r w:rsidR="00592B7A">
        <w:t>at</w:t>
      </w:r>
      <w:r w:rsidR="00FD3FE8">
        <w:t xml:space="preserve"> levels that are sufficiently high that it seems unlikely that affordability is much of an issue. </w:t>
      </w:r>
      <w:r w:rsidR="002008C1">
        <w:t xml:space="preserve">At these levels, perhaps income </w:t>
      </w:r>
      <w:r w:rsidR="002B0D28">
        <w:t xml:space="preserve">and </w:t>
      </w:r>
      <w:r w:rsidR="00DC0817">
        <w:t>wealth</w:t>
      </w:r>
      <w:r w:rsidR="002B0D28">
        <w:t xml:space="preserve"> are instead </w:t>
      </w:r>
      <w:proofErr w:type="spellStart"/>
      <w:r w:rsidR="002008C1">
        <w:t>proxying</w:t>
      </w:r>
      <w:proofErr w:type="spellEnd"/>
      <w:r w:rsidR="002008C1">
        <w:t xml:space="preserve"> for taste</w:t>
      </w:r>
      <w:r w:rsidR="00E70A16">
        <w:t>s</w:t>
      </w:r>
      <w:r w:rsidR="002008C1">
        <w:t xml:space="preserve"> or ability.</w:t>
      </w:r>
    </w:p>
    <w:p w:rsidR="001130F2" w:rsidRDefault="000A0707" w:rsidP="00360A44">
      <w:pPr>
        <w:spacing w:line="480" w:lineRule="auto"/>
        <w:ind w:firstLine="720"/>
      </w:pPr>
      <w:r>
        <w:t xml:space="preserve">At the same time, </w:t>
      </w:r>
      <w:r w:rsidR="005D3675">
        <w:t>other</w:t>
      </w:r>
      <w:r>
        <w:t xml:space="preserve"> results </w:t>
      </w:r>
      <w:r w:rsidR="00984CEC">
        <w:t>suggest that</w:t>
      </w:r>
      <w:r>
        <w:t xml:space="preserve"> credit constraints </w:t>
      </w:r>
      <w:r w:rsidR="00984CEC">
        <w:t xml:space="preserve">could </w:t>
      </w:r>
      <w:r w:rsidR="007062B1">
        <w:t xml:space="preserve">potentially </w:t>
      </w:r>
      <w:r>
        <w:t>be important for some</w:t>
      </w:r>
      <w:r w:rsidR="007062B1">
        <w:t xml:space="preserve"> young adults</w:t>
      </w:r>
      <w:r>
        <w:t xml:space="preserve">.  For example, </w:t>
      </w:r>
      <w:r w:rsidR="007063D2">
        <w:t>w</w:t>
      </w:r>
      <w:r w:rsidR="002672BD">
        <w:t xml:space="preserve">e found </w:t>
      </w:r>
      <w:r>
        <w:t xml:space="preserve">very low rates of completing four years of college at </w:t>
      </w:r>
      <w:r w:rsidR="007063D2">
        <w:t xml:space="preserve">the </w:t>
      </w:r>
      <w:r>
        <w:t>low</w:t>
      </w:r>
      <w:r w:rsidR="007063D2">
        <w:t>est</w:t>
      </w:r>
      <w:r>
        <w:t xml:space="preserve"> income</w:t>
      </w:r>
      <w:r w:rsidR="00FD42D8">
        <w:t xml:space="preserve"> </w:t>
      </w:r>
      <w:r>
        <w:t>(under 15 percent</w:t>
      </w:r>
      <w:r w:rsidR="00E915E5">
        <w:t xml:space="preserve"> at the 10</w:t>
      </w:r>
      <w:r w:rsidR="00E915E5" w:rsidRPr="00E915E5">
        <w:rPr>
          <w:vertAlign w:val="superscript"/>
        </w:rPr>
        <w:t>th</w:t>
      </w:r>
      <w:r w:rsidR="00E915E5">
        <w:t xml:space="preserve"> percentile of income</w:t>
      </w:r>
      <w:r>
        <w:t xml:space="preserve"> in the PSID and the HRS)</w:t>
      </w:r>
      <w:r w:rsidR="00E915E5">
        <w:t xml:space="preserve"> and </w:t>
      </w:r>
      <w:r w:rsidR="00DC0817">
        <w:t>wealth</w:t>
      </w:r>
      <w:r w:rsidR="00E915E5">
        <w:t xml:space="preserve"> (under 20 percent at the 10</w:t>
      </w:r>
      <w:r w:rsidR="00E915E5" w:rsidRPr="00E915E5">
        <w:rPr>
          <w:vertAlign w:val="superscript"/>
        </w:rPr>
        <w:t>th</w:t>
      </w:r>
      <w:r w:rsidR="00E915E5">
        <w:t xml:space="preserve"> percentile of </w:t>
      </w:r>
      <w:proofErr w:type="spellStart"/>
      <w:r w:rsidR="00DC0817">
        <w:t>wealth</w:t>
      </w:r>
      <w:r w:rsidR="00E915E5">
        <w:t>s</w:t>
      </w:r>
      <w:proofErr w:type="spellEnd"/>
      <w:r w:rsidR="00E915E5">
        <w:t xml:space="preserve"> in the PSID and HRS) levels.</w:t>
      </w:r>
      <w:r w:rsidR="00561E7D">
        <w:t xml:space="preserve">  Perhaps even more </w:t>
      </w:r>
      <w:r w:rsidR="00B2695D">
        <w:t>suggestive</w:t>
      </w:r>
      <w:r w:rsidR="00561E7D">
        <w:t xml:space="preserve"> w</w:t>
      </w:r>
      <w:r w:rsidR="007062B1">
        <w:t>ere</w:t>
      </w:r>
      <w:r w:rsidR="00561E7D">
        <w:t xml:space="preserve"> our results </w:t>
      </w:r>
      <w:r w:rsidR="007062B1">
        <w:t xml:space="preserve">analyzing financial </w:t>
      </w:r>
      <w:r w:rsidR="00561E7D">
        <w:t>resources and GPA</w:t>
      </w:r>
      <w:r w:rsidR="007062B1">
        <w:t xml:space="preserve"> jointly</w:t>
      </w:r>
      <w:r w:rsidR="00017108">
        <w:t xml:space="preserve">.  Especially for the top two </w:t>
      </w:r>
      <w:proofErr w:type="spellStart"/>
      <w:r w:rsidR="00017108">
        <w:t>terciles</w:t>
      </w:r>
      <w:proofErr w:type="spellEnd"/>
      <w:r w:rsidR="00017108">
        <w:t xml:space="preserve"> of GPA, income and </w:t>
      </w:r>
      <w:r w:rsidR="00DC0817">
        <w:t>wealth</w:t>
      </w:r>
      <w:r w:rsidR="00017108">
        <w:t xml:space="preserve"> had a consistent effect on attendance.  Moreover, a</w:t>
      </w:r>
      <w:r w:rsidR="00505527">
        <w:t>t low levels of income</w:t>
      </w:r>
      <w:r w:rsidR="00017108">
        <w:t xml:space="preserve">, GPA had </w:t>
      </w:r>
      <w:r w:rsidR="00561E7D">
        <w:t xml:space="preserve">no effect on college attendance and completion.  </w:t>
      </w:r>
      <w:r w:rsidR="00984CEC">
        <w:t>But again, without more specific information about application behavior and financial aid, these results are only suggestive.</w:t>
      </w:r>
    </w:p>
    <w:p w:rsidR="00C64ABA" w:rsidRDefault="00984CEC" w:rsidP="00360A44">
      <w:pPr>
        <w:spacing w:line="480" w:lineRule="auto"/>
        <w:ind w:firstLine="720"/>
      </w:pPr>
      <w:r>
        <w:t xml:space="preserve">Despite the insights provided by our </w:t>
      </w:r>
      <w:r w:rsidR="00CC5A93">
        <w:t xml:space="preserve">analysis, several important shortcomings exist.  Perhaps most importantly, </w:t>
      </w:r>
      <w:r w:rsidR="00BB59A5">
        <w:t xml:space="preserve">we do not consider the role of </w:t>
      </w:r>
      <w:r w:rsidR="007D5970">
        <w:t>financial resources</w:t>
      </w:r>
      <w:r w:rsidR="00CC5A93">
        <w:t xml:space="preserve"> </w:t>
      </w:r>
      <w:r w:rsidR="00BB59A5">
        <w:t>in</w:t>
      </w:r>
      <w:r w:rsidR="00CC5A93">
        <w:t xml:space="preserve"> </w:t>
      </w:r>
      <w:r w:rsidR="0062247F">
        <w:t>affecting graduation from high school and thus becoming “at risk” for attending college.</w:t>
      </w:r>
      <w:r w:rsidR="00CC5A93">
        <w:t xml:space="preserve">  In addition, </w:t>
      </w:r>
      <w:r w:rsidR="007D5970">
        <w:t>we d</w:t>
      </w:r>
      <w:r w:rsidR="0062247F">
        <w:t>o</w:t>
      </w:r>
      <w:r w:rsidR="007D5970">
        <w:t xml:space="preserve"> not have any information about college quality.</w:t>
      </w:r>
      <w:r w:rsidR="00C64ABA">
        <w:t xml:space="preserve"> </w:t>
      </w:r>
      <w:r w:rsidR="00BB59A5">
        <w:t xml:space="preserve">As recent work suggests, there are likely to be </w:t>
      </w:r>
      <w:r w:rsidR="00BB59A5">
        <w:lastRenderedPageBreak/>
        <w:t xml:space="preserve">important difference in </w:t>
      </w:r>
      <w:r w:rsidR="00C64ABA">
        <w:t xml:space="preserve">college that </w:t>
      </w:r>
      <w:r w:rsidR="00BB59A5">
        <w:t>the child attends</w:t>
      </w:r>
      <w:r w:rsidR="0062247F">
        <w:t xml:space="preserve"> </w:t>
      </w:r>
      <w:r w:rsidR="00BB59A5">
        <w:t xml:space="preserve">(e.g. </w:t>
      </w:r>
      <w:proofErr w:type="spellStart"/>
      <w:r w:rsidR="00BB59A5">
        <w:t>Carnevale</w:t>
      </w:r>
      <w:proofErr w:type="spellEnd"/>
      <w:r w:rsidR="00BB59A5">
        <w:t xml:space="preserve"> and </w:t>
      </w:r>
      <w:proofErr w:type="spellStart"/>
      <w:r w:rsidR="00BB59A5">
        <w:t>Strohl</w:t>
      </w:r>
      <w:proofErr w:type="spellEnd"/>
      <w:r w:rsidR="00BB59A5">
        <w:t>, 2013)</w:t>
      </w:r>
      <w:r w:rsidR="00F81FCA">
        <w:t xml:space="preserve">. </w:t>
      </w:r>
      <w:r w:rsidR="0062247F" w:rsidRPr="0062247F">
        <w:t xml:space="preserve"> </w:t>
      </w:r>
      <w:r w:rsidR="0062247F">
        <w:t xml:space="preserve">This distinction regarding the quality of the school is important because there </w:t>
      </w:r>
      <w:proofErr w:type="gramStart"/>
      <w:r w:rsidR="0062247F">
        <w:t>exists</w:t>
      </w:r>
      <w:proofErr w:type="gramEnd"/>
      <w:r w:rsidR="0062247F">
        <w:t xml:space="preserve"> s</w:t>
      </w:r>
      <w:r w:rsidR="00C64ABA">
        <w:t>ubstantial evidence</w:t>
      </w:r>
      <w:r w:rsidR="00BB59A5">
        <w:t xml:space="preserve"> </w:t>
      </w:r>
      <w:r w:rsidR="00C64ABA">
        <w:t>that the value of a college degree varies substantially with the quality of college</w:t>
      </w:r>
      <w:r w:rsidR="00BB59A5">
        <w:t xml:space="preserve"> as do college completion rates</w:t>
      </w:r>
      <w:r w:rsidR="00C64ABA">
        <w:t>.</w:t>
      </w:r>
    </w:p>
    <w:p w:rsidR="00B06E29" w:rsidRDefault="008E651A" w:rsidP="00360A44">
      <w:pPr>
        <w:spacing w:line="480" w:lineRule="auto"/>
        <w:ind w:firstLine="720"/>
      </w:pPr>
      <w:r>
        <w:t xml:space="preserve">Overall, our results suggest that the </w:t>
      </w:r>
      <w:r w:rsidR="00D24F4B">
        <w:t>association between</w:t>
      </w:r>
      <w:r>
        <w:t xml:space="preserve"> parental financial resources </w:t>
      </w:r>
      <w:r w:rsidR="00D24F4B">
        <w:t>and college attendance and completion</w:t>
      </w:r>
      <w:r>
        <w:t xml:space="preserve"> is strong</w:t>
      </w:r>
      <w:r w:rsidR="00903D78">
        <w:t xml:space="preserve">.  Given the </w:t>
      </w:r>
      <w:r w:rsidR="00FD7F4A">
        <w:t xml:space="preserve">established, </w:t>
      </w:r>
      <w:r w:rsidR="00903D78">
        <w:t xml:space="preserve">high returns to education, particularly those </w:t>
      </w:r>
      <w:r w:rsidR="00A93C8A">
        <w:t>to completing a</w:t>
      </w:r>
      <w:r w:rsidR="00643B44">
        <w:t xml:space="preserve"> </w:t>
      </w:r>
      <w:r w:rsidR="00903D78">
        <w:t>4-year college degree, these</w:t>
      </w:r>
      <w:r w:rsidR="00FD7F4A">
        <w:t xml:space="preserve"> associations represent an important avenue through inequality is transmitted across generations.  Although the formulation of specific policy initiatives requires much more in</w:t>
      </w:r>
      <w:r w:rsidR="00D24F4B">
        <w:t>formation regarding why these associations exist, the size of these associations suggest that it is an avenue worth exploring.</w:t>
      </w:r>
    </w:p>
    <w:p w:rsidR="00A66B18" w:rsidRDefault="00A66B18">
      <w:pPr>
        <w:rPr>
          <w:b/>
        </w:rPr>
      </w:pPr>
      <w:r>
        <w:rPr>
          <w:b/>
        </w:rPr>
        <w:br w:type="page"/>
      </w:r>
    </w:p>
    <w:p w:rsidR="001B41C5" w:rsidRPr="00222207" w:rsidRDefault="001B41C5" w:rsidP="001B41C5">
      <w:pPr>
        <w:spacing w:line="480" w:lineRule="auto"/>
        <w:rPr>
          <w:color w:val="0000FF"/>
        </w:rPr>
      </w:pPr>
      <w:r w:rsidRPr="00222207">
        <w:rPr>
          <w:b/>
        </w:rPr>
        <w:lastRenderedPageBreak/>
        <w:t xml:space="preserve">Appendix </w:t>
      </w:r>
    </w:p>
    <w:p w:rsidR="001B41C5" w:rsidRDefault="001B41C5">
      <w:pPr>
        <w:rPr>
          <w:b/>
        </w:rPr>
      </w:pPr>
    </w:p>
    <w:p w:rsidR="00A82FB2" w:rsidRDefault="00A82FB2" w:rsidP="00A82FB2">
      <w:pPr>
        <w:jc w:val="center"/>
      </w:pPr>
      <w:r>
        <w:t xml:space="preserve">Appendix Table 1: Point Estimates and Standard Errors for Select Quantities </w:t>
      </w:r>
    </w:p>
    <w:p w:rsidR="00A82FB2" w:rsidRDefault="00A82FB2" w:rsidP="00A82FB2">
      <w:pPr>
        <w:jc w:val="center"/>
      </w:pPr>
      <w:proofErr w:type="gramStart"/>
      <w:r>
        <w:t>from</w:t>
      </w:r>
      <w:proofErr w:type="gramEnd"/>
      <w:r>
        <w:t xml:space="preserve"> Figures 1 and 4</w:t>
      </w:r>
    </w:p>
    <w:p w:rsidR="00A82FB2" w:rsidRDefault="00A82FB2" w:rsidP="00A82FB2"/>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840"/>
        <w:gridCol w:w="1003"/>
        <w:gridCol w:w="1003"/>
        <w:gridCol w:w="1003"/>
        <w:gridCol w:w="1003"/>
        <w:gridCol w:w="1004"/>
      </w:tblGrid>
      <w:tr w:rsidR="00A82FB2" w:rsidTr="00D24F4B">
        <w:tc>
          <w:tcPr>
            <w:tcW w:w="3840" w:type="dxa"/>
            <w:tcBorders>
              <w:bottom w:val="nil"/>
            </w:tcBorders>
          </w:tcPr>
          <w:p w:rsidR="00A82FB2" w:rsidRDefault="00A82FB2" w:rsidP="00D24F4B"/>
        </w:tc>
        <w:tc>
          <w:tcPr>
            <w:tcW w:w="1003" w:type="dxa"/>
            <w:tcBorders>
              <w:bottom w:val="nil"/>
            </w:tcBorders>
          </w:tcPr>
          <w:p w:rsidR="00A82FB2" w:rsidRDefault="00A82FB2" w:rsidP="00D24F4B">
            <w:pPr>
              <w:jc w:val="center"/>
            </w:pPr>
          </w:p>
        </w:tc>
        <w:tc>
          <w:tcPr>
            <w:tcW w:w="1003" w:type="dxa"/>
            <w:tcBorders>
              <w:bottom w:val="nil"/>
            </w:tcBorders>
          </w:tcPr>
          <w:p w:rsidR="00A82FB2" w:rsidRDefault="00A82FB2" w:rsidP="00D24F4B">
            <w:pPr>
              <w:jc w:val="center"/>
            </w:pPr>
          </w:p>
        </w:tc>
        <w:tc>
          <w:tcPr>
            <w:tcW w:w="1003" w:type="dxa"/>
            <w:tcBorders>
              <w:bottom w:val="nil"/>
            </w:tcBorders>
          </w:tcPr>
          <w:p w:rsidR="00A82FB2" w:rsidRDefault="00A82FB2" w:rsidP="00D24F4B">
            <w:pPr>
              <w:jc w:val="center"/>
            </w:pPr>
          </w:p>
        </w:tc>
        <w:tc>
          <w:tcPr>
            <w:tcW w:w="1003" w:type="dxa"/>
            <w:tcBorders>
              <w:bottom w:val="nil"/>
            </w:tcBorders>
          </w:tcPr>
          <w:p w:rsidR="00A82FB2" w:rsidRDefault="00A82FB2" w:rsidP="00D24F4B">
            <w:pPr>
              <w:jc w:val="center"/>
            </w:pPr>
          </w:p>
        </w:tc>
        <w:tc>
          <w:tcPr>
            <w:tcW w:w="1004" w:type="dxa"/>
            <w:tcBorders>
              <w:bottom w:val="nil"/>
            </w:tcBorders>
          </w:tcPr>
          <w:p w:rsidR="00A82FB2" w:rsidRDefault="00A82FB2" w:rsidP="00D24F4B">
            <w:pPr>
              <w:jc w:val="center"/>
            </w:pPr>
          </w:p>
        </w:tc>
      </w:tr>
      <w:tr w:rsidR="00A82FB2" w:rsidTr="00D24F4B">
        <w:tc>
          <w:tcPr>
            <w:tcW w:w="3840" w:type="dxa"/>
            <w:tcBorders>
              <w:top w:val="nil"/>
              <w:bottom w:val="single" w:sz="4" w:space="0" w:color="auto"/>
            </w:tcBorders>
          </w:tcPr>
          <w:p w:rsidR="00A82FB2" w:rsidRDefault="00A82FB2" w:rsidP="00D24F4B"/>
        </w:tc>
        <w:tc>
          <w:tcPr>
            <w:tcW w:w="1003" w:type="dxa"/>
            <w:tcBorders>
              <w:top w:val="nil"/>
              <w:bottom w:val="single" w:sz="4" w:space="0" w:color="auto"/>
            </w:tcBorders>
          </w:tcPr>
          <w:p w:rsidR="00A82FB2" w:rsidRDefault="00A82FB2" w:rsidP="00D24F4B">
            <w:pPr>
              <w:jc w:val="center"/>
            </w:pPr>
            <w:r>
              <w:t>10</w:t>
            </w:r>
            <w:r w:rsidRPr="00894A61">
              <w:rPr>
                <w:vertAlign w:val="superscript"/>
              </w:rPr>
              <w:t>th</w:t>
            </w:r>
          </w:p>
        </w:tc>
        <w:tc>
          <w:tcPr>
            <w:tcW w:w="1003" w:type="dxa"/>
            <w:tcBorders>
              <w:top w:val="nil"/>
              <w:bottom w:val="single" w:sz="4" w:space="0" w:color="auto"/>
            </w:tcBorders>
          </w:tcPr>
          <w:p w:rsidR="00A82FB2" w:rsidRDefault="00A82FB2" w:rsidP="00D24F4B">
            <w:pPr>
              <w:jc w:val="center"/>
            </w:pPr>
            <w:r>
              <w:t>25</w:t>
            </w:r>
            <w:r w:rsidRPr="00894A61">
              <w:rPr>
                <w:vertAlign w:val="superscript"/>
              </w:rPr>
              <w:t>th</w:t>
            </w:r>
          </w:p>
        </w:tc>
        <w:tc>
          <w:tcPr>
            <w:tcW w:w="1003" w:type="dxa"/>
            <w:tcBorders>
              <w:top w:val="nil"/>
              <w:bottom w:val="single" w:sz="4" w:space="0" w:color="auto"/>
            </w:tcBorders>
          </w:tcPr>
          <w:p w:rsidR="00A82FB2" w:rsidRDefault="00A82FB2" w:rsidP="00D24F4B">
            <w:pPr>
              <w:jc w:val="center"/>
            </w:pPr>
            <w:r>
              <w:t>50</w:t>
            </w:r>
            <w:r w:rsidRPr="00894A61">
              <w:rPr>
                <w:vertAlign w:val="superscript"/>
              </w:rPr>
              <w:t>th</w:t>
            </w:r>
          </w:p>
        </w:tc>
        <w:tc>
          <w:tcPr>
            <w:tcW w:w="1003" w:type="dxa"/>
            <w:tcBorders>
              <w:top w:val="nil"/>
              <w:bottom w:val="single" w:sz="4" w:space="0" w:color="auto"/>
            </w:tcBorders>
          </w:tcPr>
          <w:p w:rsidR="00A82FB2" w:rsidRDefault="00A82FB2" w:rsidP="00D24F4B">
            <w:pPr>
              <w:jc w:val="center"/>
            </w:pPr>
            <w:r>
              <w:t>75</w:t>
            </w:r>
            <w:r w:rsidRPr="00894A61">
              <w:rPr>
                <w:vertAlign w:val="superscript"/>
              </w:rPr>
              <w:t>th</w:t>
            </w:r>
          </w:p>
        </w:tc>
        <w:tc>
          <w:tcPr>
            <w:tcW w:w="1004" w:type="dxa"/>
            <w:tcBorders>
              <w:top w:val="nil"/>
              <w:bottom w:val="single" w:sz="4" w:space="0" w:color="auto"/>
            </w:tcBorders>
          </w:tcPr>
          <w:p w:rsidR="00A82FB2" w:rsidRDefault="00A82FB2" w:rsidP="00D24F4B">
            <w:pPr>
              <w:jc w:val="center"/>
            </w:pPr>
            <w:r>
              <w:t>90</w:t>
            </w:r>
            <w:r w:rsidRPr="00894A61">
              <w:rPr>
                <w:vertAlign w:val="superscript"/>
              </w:rPr>
              <w:t>th</w:t>
            </w:r>
          </w:p>
        </w:tc>
      </w:tr>
      <w:tr w:rsidR="00A82FB2" w:rsidTr="00D24F4B">
        <w:tc>
          <w:tcPr>
            <w:tcW w:w="3840" w:type="dxa"/>
            <w:tcBorders>
              <w:top w:val="single" w:sz="4" w:space="0" w:color="auto"/>
            </w:tcBorders>
          </w:tcPr>
          <w:p w:rsidR="00A82FB2" w:rsidRPr="00EF56C1" w:rsidRDefault="00A82FB2" w:rsidP="00A82FB2">
            <w:pPr>
              <w:rPr>
                <w:u w:val="single"/>
              </w:rPr>
            </w:pPr>
            <w:r>
              <w:rPr>
                <w:u w:val="single"/>
              </w:rPr>
              <w:t>Figure 1: PSID</w:t>
            </w:r>
          </w:p>
        </w:tc>
        <w:tc>
          <w:tcPr>
            <w:tcW w:w="1003" w:type="dxa"/>
            <w:tcBorders>
              <w:top w:val="single" w:sz="4" w:space="0" w:color="auto"/>
            </w:tcBorders>
          </w:tcPr>
          <w:p w:rsidR="00A82FB2" w:rsidRDefault="00A82FB2" w:rsidP="00D24F4B">
            <w:pPr>
              <w:jc w:val="center"/>
            </w:pPr>
          </w:p>
        </w:tc>
        <w:tc>
          <w:tcPr>
            <w:tcW w:w="1003" w:type="dxa"/>
            <w:tcBorders>
              <w:top w:val="single" w:sz="4" w:space="0" w:color="auto"/>
            </w:tcBorders>
          </w:tcPr>
          <w:p w:rsidR="00A82FB2" w:rsidRDefault="00A82FB2" w:rsidP="00D24F4B">
            <w:pPr>
              <w:jc w:val="center"/>
            </w:pPr>
          </w:p>
        </w:tc>
        <w:tc>
          <w:tcPr>
            <w:tcW w:w="1003" w:type="dxa"/>
            <w:tcBorders>
              <w:top w:val="single" w:sz="4" w:space="0" w:color="auto"/>
            </w:tcBorders>
          </w:tcPr>
          <w:p w:rsidR="00A82FB2" w:rsidRDefault="00A82FB2" w:rsidP="00D24F4B">
            <w:pPr>
              <w:jc w:val="center"/>
            </w:pPr>
          </w:p>
        </w:tc>
        <w:tc>
          <w:tcPr>
            <w:tcW w:w="1003" w:type="dxa"/>
            <w:tcBorders>
              <w:top w:val="single" w:sz="4" w:space="0" w:color="auto"/>
            </w:tcBorders>
          </w:tcPr>
          <w:p w:rsidR="00A82FB2" w:rsidRDefault="00A82FB2" w:rsidP="00D24F4B">
            <w:pPr>
              <w:jc w:val="center"/>
            </w:pPr>
          </w:p>
        </w:tc>
        <w:tc>
          <w:tcPr>
            <w:tcW w:w="1004" w:type="dxa"/>
            <w:tcBorders>
              <w:top w:val="single" w:sz="4" w:space="0" w:color="auto"/>
            </w:tcBorders>
          </w:tcPr>
          <w:p w:rsidR="00A82FB2" w:rsidRDefault="00A82FB2" w:rsidP="00D24F4B">
            <w:pPr>
              <w:jc w:val="center"/>
            </w:pPr>
          </w:p>
        </w:tc>
      </w:tr>
      <w:tr w:rsidR="00A82FB2" w:rsidTr="00D24F4B">
        <w:tc>
          <w:tcPr>
            <w:tcW w:w="3840" w:type="dxa"/>
          </w:tcPr>
          <w:p w:rsidR="00A82FB2" w:rsidRDefault="00A82FB2" w:rsidP="00D24F4B">
            <w:r>
              <w:t>Income ($1000s)</w:t>
            </w:r>
          </w:p>
        </w:tc>
        <w:tc>
          <w:tcPr>
            <w:tcW w:w="1003" w:type="dxa"/>
          </w:tcPr>
          <w:p w:rsidR="00A82FB2" w:rsidRDefault="00A82FB2" w:rsidP="00D24F4B">
            <w:pPr>
              <w:jc w:val="center"/>
            </w:pPr>
            <w:r>
              <w:t>21.3</w:t>
            </w:r>
          </w:p>
        </w:tc>
        <w:tc>
          <w:tcPr>
            <w:tcW w:w="1003" w:type="dxa"/>
          </w:tcPr>
          <w:p w:rsidR="00A82FB2" w:rsidRDefault="00A82FB2" w:rsidP="00D24F4B">
            <w:pPr>
              <w:jc w:val="center"/>
            </w:pPr>
            <w:r>
              <w:t>41.7</w:t>
            </w:r>
          </w:p>
        </w:tc>
        <w:tc>
          <w:tcPr>
            <w:tcW w:w="1003" w:type="dxa"/>
          </w:tcPr>
          <w:p w:rsidR="00A82FB2" w:rsidRDefault="00A82FB2" w:rsidP="00D24F4B">
            <w:pPr>
              <w:jc w:val="center"/>
            </w:pPr>
            <w:r>
              <w:t>69.4</w:t>
            </w:r>
          </w:p>
        </w:tc>
        <w:tc>
          <w:tcPr>
            <w:tcW w:w="1003" w:type="dxa"/>
          </w:tcPr>
          <w:p w:rsidR="00A82FB2" w:rsidRDefault="00A82FB2" w:rsidP="00D24F4B">
            <w:pPr>
              <w:jc w:val="center"/>
            </w:pPr>
            <w:r>
              <w:t>109.2</w:t>
            </w:r>
          </w:p>
        </w:tc>
        <w:tc>
          <w:tcPr>
            <w:tcW w:w="1004" w:type="dxa"/>
          </w:tcPr>
          <w:p w:rsidR="00A82FB2" w:rsidRDefault="00A82FB2" w:rsidP="00D24F4B">
            <w:pPr>
              <w:jc w:val="center"/>
            </w:pPr>
            <w:r>
              <w:t>155.5</w:t>
            </w:r>
          </w:p>
        </w:tc>
      </w:tr>
      <w:tr w:rsidR="00A82FB2" w:rsidTr="00D24F4B">
        <w:tc>
          <w:tcPr>
            <w:tcW w:w="3840" w:type="dxa"/>
          </w:tcPr>
          <w:p w:rsidR="00A82FB2" w:rsidRDefault="00A82FB2" w:rsidP="00D24F4B">
            <w:r>
              <w:t xml:space="preserve">Attendance at income percentile </w:t>
            </w:r>
          </w:p>
        </w:tc>
        <w:tc>
          <w:tcPr>
            <w:tcW w:w="1003" w:type="dxa"/>
          </w:tcPr>
          <w:p w:rsidR="00A82FB2" w:rsidRDefault="00A82FB2" w:rsidP="00D24F4B">
            <w:pPr>
              <w:jc w:val="center"/>
            </w:pPr>
            <w:r>
              <w:t>.307</w:t>
            </w:r>
          </w:p>
          <w:p w:rsidR="00A82FB2" w:rsidRDefault="00A82FB2" w:rsidP="00D24F4B">
            <w:pPr>
              <w:jc w:val="center"/>
            </w:pPr>
            <w:r>
              <w:t>(.016)</w:t>
            </w:r>
          </w:p>
        </w:tc>
        <w:tc>
          <w:tcPr>
            <w:tcW w:w="1003" w:type="dxa"/>
          </w:tcPr>
          <w:p w:rsidR="00A82FB2" w:rsidRDefault="00A82FB2" w:rsidP="00D24F4B">
            <w:pPr>
              <w:jc w:val="center"/>
            </w:pPr>
            <w:r>
              <w:t>.395</w:t>
            </w:r>
          </w:p>
          <w:p w:rsidR="00A82FB2" w:rsidRDefault="00A82FB2" w:rsidP="00D24F4B">
            <w:pPr>
              <w:jc w:val="center"/>
            </w:pPr>
            <w:r>
              <w:t>(.012)</w:t>
            </w:r>
          </w:p>
        </w:tc>
        <w:tc>
          <w:tcPr>
            <w:tcW w:w="1003" w:type="dxa"/>
          </w:tcPr>
          <w:p w:rsidR="00A82FB2" w:rsidRDefault="00A82FB2" w:rsidP="00D24F4B">
            <w:pPr>
              <w:jc w:val="center"/>
            </w:pPr>
            <w:r>
              <w:t>.500</w:t>
            </w:r>
          </w:p>
          <w:p w:rsidR="00A82FB2" w:rsidRDefault="00A82FB2" w:rsidP="00D24F4B">
            <w:pPr>
              <w:jc w:val="center"/>
            </w:pPr>
            <w:r>
              <w:t>(.013)</w:t>
            </w:r>
          </w:p>
        </w:tc>
        <w:tc>
          <w:tcPr>
            <w:tcW w:w="1003" w:type="dxa"/>
          </w:tcPr>
          <w:p w:rsidR="00A82FB2" w:rsidRDefault="00A82FB2" w:rsidP="00D24F4B">
            <w:pPr>
              <w:jc w:val="center"/>
            </w:pPr>
            <w:r>
              <w:t>.627</w:t>
            </w:r>
          </w:p>
          <w:p w:rsidR="00A82FB2" w:rsidRDefault="00A82FB2" w:rsidP="00D24F4B">
            <w:pPr>
              <w:jc w:val="center"/>
            </w:pPr>
            <w:r>
              <w:t>(.017)</w:t>
            </w:r>
          </w:p>
        </w:tc>
        <w:tc>
          <w:tcPr>
            <w:tcW w:w="1004" w:type="dxa"/>
          </w:tcPr>
          <w:p w:rsidR="00A82FB2" w:rsidRDefault="00A82FB2" w:rsidP="00D24F4B">
            <w:pPr>
              <w:jc w:val="center"/>
            </w:pPr>
            <w:r>
              <w:t>.778</w:t>
            </w:r>
          </w:p>
          <w:p w:rsidR="00A82FB2" w:rsidRDefault="00A82FB2" w:rsidP="00D24F4B">
            <w:pPr>
              <w:jc w:val="center"/>
            </w:pPr>
            <w:r>
              <w:t>(.024)</w:t>
            </w:r>
          </w:p>
        </w:tc>
      </w:tr>
      <w:tr w:rsidR="00A82FB2" w:rsidTr="00D24F4B">
        <w:tc>
          <w:tcPr>
            <w:tcW w:w="3840" w:type="dxa"/>
          </w:tcPr>
          <w:p w:rsidR="00A82FB2" w:rsidRDefault="00A82FB2" w:rsidP="00D24F4B">
            <w:r>
              <w:t>Wealth ($1000s)</w:t>
            </w:r>
          </w:p>
        </w:tc>
        <w:tc>
          <w:tcPr>
            <w:tcW w:w="1003" w:type="dxa"/>
          </w:tcPr>
          <w:p w:rsidR="00A82FB2" w:rsidRDefault="00A82FB2" w:rsidP="00D24F4B">
            <w:pPr>
              <w:jc w:val="center"/>
            </w:pPr>
            <w:r>
              <w:t>0</w:t>
            </w:r>
          </w:p>
        </w:tc>
        <w:tc>
          <w:tcPr>
            <w:tcW w:w="1003" w:type="dxa"/>
          </w:tcPr>
          <w:p w:rsidR="00A82FB2" w:rsidRDefault="00A82FB2" w:rsidP="00D24F4B">
            <w:pPr>
              <w:jc w:val="center"/>
            </w:pPr>
            <w:r>
              <w:t>15.5</w:t>
            </w:r>
          </w:p>
        </w:tc>
        <w:tc>
          <w:tcPr>
            <w:tcW w:w="1003" w:type="dxa"/>
          </w:tcPr>
          <w:p w:rsidR="00A82FB2" w:rsidRDefault="00A82FB2" w:rsidP="00D24F4B">
            <w:pPr>
              <w:jc w:val="center"/>
            </w:pPr>
            <w:r>
              <w:t>82.1</w:t>
            </w:r>
          </w:p>
        </w:tc>
        <w:tc>
          <w:tcPr>
            <w:tcW w:w="1003" w:type="dxa"/>
          </w:tcPr>
          <w:p w:rsidR="00A82FB2" w:rsidRDefault="00A82FB2" w:rsidP="00D24F4B">
            <w:pPr>
              <w:jc w:val="center"/>
            </w:pPr>
            <w:r>
              <w:t>219.7</w:t>
            </w:r>
          </w:p>
        </w:tc>
        <w:tc>
          <w:tcPr>
            <w:tcW w:w="1004" w:type="dxa"/>
          </w:tcPr>
          <w:p w:rsidR="00A82FB2" w:rsidRDefault="00A82FB2" w:rsidP="00D24F4B">
            <w:pPr>
              <w:jc w:val="center"/>
            </w:pPr>
            <w:r>
              <w:t>505.7</w:t>
            </w:r>
          </w:p>
        </w:tc>
      </w:tr>
      <w:tr w:rsidR="00A82FB2" w:rsidTr="00D24F4B">
        <w:tc>
          <w:tcPr>
            <w:tcW w:w="3840" w:type="dxa"/>
          </w:tcPr>
          <w:p w:rsidR="00A82FB2" w:rsidRDefault="00A82FB2" w:rsidP="00D24F4B">
            <w:r>
              <w:t>Attendance at wealth percentile</w:t>
            </w:r>
          </w:p>
        </w:tc>
        <w:tc>
          <w:tcPr>
            <w:tcW w:w="1003" w:type="dxa"/>
          </w:tcPr>
          <w:p w:rsidR="00A82FB2" w:rsidRDefault="00A82FB2" w:rsidP="00D24F4B">
            <w:pPr>
              <w:jc w:val="center"/>
            </w:pPr>
            <w:r>
              <w:t>.313</w:t>
            </w:r>
          </w:p>
          <w:p w:rsidR="00A82FB2" w:rsidRDefault="00A82FB2" w:rsidP="00D24F4B">
            <w:pPr>
              <w:jc w:val="center"/>
            </w:pPr>
            <w:r>
              <w:t>(.017)</w:t>
            </w:r>
          </w:p>
        </w:tc>
        <w:tc>
          <w:tcPr>
            <w:tcW w:w="1003" w:type="dxa"/>
          </w:tcPr>
          <w:p w:rsidR="00A82FB2" w:rsidRDefault="00A82FB2" w:rsidP="00D24F4B">
            <w:pPr>
              <w:jc w:val="center"/>
            </w:pPr>
            <w:r>
              <w:t>.359</w:t>
            </w:r>
          </w:p>
          <w:p w:rsidR="00A82FB2" w:rsidRDefault="00A82FB2" w:rsidP="00D24F4B">
            <w:pPr>
              <w:jc w:val="center"/>
            </w:pPr>
            <w:r>
              <w:t>(.012)</w:t>
            </w:r>
          </w:p>
        </w:tc>
        <w:tc>
          <w:tcPr>
            <w:tcW w:w="1003" w:type="dxa"/>
          </w:tcPr>
          <w:p w:rsidR="00A82FB2" w:rsidRDefault="00A82FB2" w:rsidP="00D24F4B">
            <w:pPr>
              <w:jc w:val="center"/>
            </w:pPr>
            <w:r>
              <w:t>.488</w:t>
            </w:r>
          </w:p>
          <w:p w:rsidR="00A82FB2" w:rsidRDefault="00A82FB2" w:rsidP="00D24F4B">
            <w:pPr>
              <w:jc w:val="center"/>
            </w:pPr>
            <w:r>
              <w:t>(.015)</w:t>
            </w:r>
          </w:p>
        </w:tc>
        <w:tc>
          <w:tcPr>
            <w:tcW w:w="1003" w:type="dxa"/>
          </w:tcPr>
          <w:p w:rsidR="00A82FB2" w:rsidRDefault="00A82FB2" w:rsidP="00D24F4B">
            <w:pPr>
              <w:jc w:val="center"/>
            </w:pPr>
            <w:r>
              <w:t>.663</w:t>
            </w:r>
          </w:p>
          <w:p w:rsidR="00A82FB2" w:rsidRDefault="00A82FB2" w:rsidP="00D24F4B">
            <w:pPr>
              <w:jc w:val="center"/>
            </w:pPr>
            <w:r>
              <w:t>(.024)</w:t>
            </w:r>
          </w:p>
        </w:tc>
        <w:tc>
          <w:tcPr>
            <w:tcW w:w="1004" w:type="dxa"/>
          </w:tcPr>
          <w:p w:rsidR="00A82FB2" w:rsidRDefault="00A82FB2" w:rsidP="00D24F4B">
            <w:pPr>
              <w:jc w:val="center"/>
            </w:pPr>
            <w:r>
              <w:t>.617</w:t>
            </w:r>
          </w:p>
          <w:p w:rsidR="00A82FB2" w:rsidRDefault="00A82FB2" w:rsidP="00D24F4B">
            <w:pPr>
              <w:jc w:val="center"/>
            </w:pPr>
            <w:r>
              <w:t>(.052)</w:t>
            </w:r>
          </w:p>
        </w:tc>
      </w:tr>
      <w:tr w:rsidR="00A82FB2" w:rsidTr="00D24F4B">
        <w:tc>
          <w:tcPr>
            <w:tcW w:w="3840" w:type="dxa"/>
          </w:tcPr>
          <w:p w:rsidR="00A82FB2" w:rsidRDefault="00A82FB2" w:rsidP="00D24F4B"/>
        </w:tc>
        <w:tc>
          <w:tcPr>
            <w:tcW w:w="1003" w:type="dxa"/>
          </w:tcPr>
          <w:p w:rsidR="00A82FB2" w:rsidRDefault="00A82FB2" w:rsidP="00D24F4B">
            <w:pPr>
              <w:jc w:val="center"/>
            </w:pPr>
          </w:p>
        </w:tc>
        <w:tc>
          <w:tcPr>
            <w:tcW w:w="1003" w:type="dxa"/>
          </w:tcPr>
          <w:p w:rsidR="00A82FB2" w:rsidRDefault="00A82FB2" w:rsidP="00D24F4B">
            <w:pPr>
              <w:jc w:val="center"/>
            </w:pPr>
          </w:p>
        </w:tc>
        <w:tc>
          <w:tcPr>
            <w:tcW w:w="1003" w:type="dxa"/>
          </w:tcPr>
          <w:p w:rsidR="00A82FB2" w:rsidRDefault="00A82FB2" w:rsidP="00D24F4B">
            <w:pPr>
              <w:jc w:val="center"/>
            </w:pPr>
          </w:p>
        </w:tc>
        <w:tc>
          <w:tcPr>
            <w:tcW w:w="1003" w:type="dxa"/>
          </w:tcPr>
          <w:p w:rsidR="00A82FB2" w:rsidRDefault="00A82FB2" w:rsidP="00D24F4B">
            <w:pPr>
              <w:jc w:val="center"/>
            </w:pPr>
          </w:p>
        </w:tc>
        <w:tc>
          <w:tcPr>
            <w:tcW w:w="1004" w:type="dxa"/>
          </w:tcPr>
          <w:p w:rsidR="00A82FB2" w:rsidRDefault="00A82FB2" w:rsidP="00D24F4B">
            <w:pPr>
              <w:jc w:val="center"/>
            </w:pPr>
          </w:p>
        </w:tc>
      </w:tr>
      <w:tr w:rsidR="00A82FB2" w:rsidTr="00D24F4B">
        <w:tc>
          <w:tcPr>
            <w:tcW w:w="3840" w:type="dxa"/>
          </w:tcPr>
          <w:p w:rsidR="00A82FB2" w:rsidRPr="00EF56C1" w:rsidRDefault="00A82FB2" w:rsidP="00A82FB2">
            <w:pPr>
              <w:rPr>
                <w:u w:val="single"/>
              </w:rPr>
            </w:pPr>
            <w:r>
              <w:rPr>
                <w:u w:val="single"/>
              </w:rPr>
              <w:t>Figure 3: HRS</w:t>
            </w:r>
          </w:p>
        </w:tc>
        <w:tc>
          <w:tcPr>
            <w:tcW w:w="1003" w:type="dxa"/>
          </w:tcPr>
          <w:p w:rsidR="00A82FB2" w:rsidRDefault="00A82FB2" w:rsidP="00D24F4B">
            <w:pPr>
              <w:jc w:val="center"/>
            </w:pPr>
          </w:p>
        </w:tc>
        <w:tc>
          <w:tcPr>
            <w:tcW w:w="1003" w:type="dxa"/>
          </w:tcPr>
          <w:p w:rsidR="00A82FB2" w:rsidRDefault="00A82FB2" w:rsidP="00D24F4B">
            <w:pPr>
              <w:jc w:val="center"/>
            </w:pPr>
          </w:p>
        </w:tc>
        <w:tc>
          <w:tcPr>
            <w:tcW w:w="1003" w:type="dxa"/>
          </w:tcPr>
          <w:p w:rsidR="00A82FB2" w:rsidRDefault="00A82FB2" w:rsidP="00D24F4B">
            <w:pPr>
              <w:jc w:val="center"/>
            </w:pPr>
          </w:p>
        </w:tc>
        <w:tc>
          <w:tcPr>
            <w:tcW w:w="1003" w:type="dxa"/>
          </w:tcPr>
          <w:p w:rsidR="00A82FB2" w:rsidRDefault="00A82FB2" w:rsidP="00D24F4B">
            <w:pPr>
              <w:jc w:val="center"/>
            </w:pPr>
          </w:p>
        </w:tc>
        <w:tc>
          <w:tcPr>
            <w:tcW w:w="1004" w:type="dxa"/>
          </w:tcPr>
          <w:p w:rsidR="00A82FB2" w:rsidRDefault="00A82FB2" w:rsidP="00D24F4B">
            <w:pPr>
              <w:jc w:val="center"/>
            </w:pPr>
          </w:p>
        </w:tc>
      </w:tr>
      <w:tr w:rsidR="00A82FB2" w:rsidTr="00D24F4B">
        <w:tc>
          <w:tcPr>
            <w:tcW w:w="3840" w:type="dxa"/>
          </w:tcPr>
          <w:p w:rsidR="00A82FB2" w:rsidRDefault="00A82FB2" w:rsidP="00D24F4B">
            <w:r>
              <w:t>Income ($1000s)</w:t>
            </w:r>
          </w:p>
        </w:tc>
        <w:tc>
          <w:tcPr>
            <w:tcW w:w="1003" w:type="dxa"/>
          </w:tcPr>
          <w:p w:rsidR="00A82FB2" w:rsidRDefault="00A82FB2" w:rsidP="00D24F4B">
            <w:pPr>
              <w:jc w:val="center"/>
            </w:pPr>
            <w:r>
              <w:t>12.0</w:t>
            </w:r>
          </w:p>
        </w:tc>
        <w:tc>
          <w:tcPr>
            <w:tcW w:w="1003" w:type="dxa"/>
          </w:tcPr>
          <w:p w:rsidR="00A82FB2" w:rsidRDefault="00A82FB2" w:rsidP="00D24F4B">
            <w:pPr>
              <w:jc w:val="center"/>
            </w:pPr>
            <w:r>
              <w:t>32.6</w:t>
            </w:r>
          </w:p>
        </w:tc>
        <w:tc>
          <w:tcPr>
            <w:tcW w:w="1003" w:type="dxa"/>
          </w:tcPr>
          <w:p w:rsidR="00A82FB2" w:rsidRDefault="00A82FB2" w:rsidP="00D24F4B">
            <w:pPr>
              <w:jc w:val="center"/>
            </w:pPr>
            <w:r>
              <w:t>66.7</w:t>
            </w:r>
          </w:p>
        </w:tc>
        <w:tc>
          <w:tcPr>
            <w:tcW w:w="1003" w:type="dxa"/>
          </w:tcPr>
          <w:p w:rsidR="00A82FB2" w:rsidRDefault="00A82FB2" w:rsidP="00D24F4B">
            <w:pPr>
              <w:jc w:val="center"/>
            </w:pPr>
            <w:r>
              <w:t>120.8</w:t>
            </w:r>
          </w:p>
        </w:tc>
        <w:tc>
          <w:tcPr>
            <w:tcW w:w="1004" w:type="dxa"/>
          </w:tcPr>
          <w:p w:rsidR="00A82FB2" w:rsidRDefault="00A82FB2" w:rsidP="00D24F4B">
            <w:pPr>
              <w:jc w:val="center"/>
            </w:pPr>
            <w:r>
              <w:t>205.2</w:t>
            </w:r>
          </w:p>
        </w:tc>
      </w:tr>
      <w:tr w:rsidR="00A82FB2" w:rsidTr="00D24F4B">
        <w:tc>
          <w:tcPr>
            <w:tcW w:w="3840" w:type="dxa"/>
          </w:tcPr>
          <w:p w:rsidR="00A82FB2" w:rsidRDefault="00A82FB2" w:rsidP="00D24F4B">
            <w:r>
              <w:t>Attendance at income percentile</w:t>
            </w:r>
          </w:p>
        </w:tc>
        <w:tc>
          <w:tcPr>
            <w:tcW w:w="1003" w:type="dxa"/>
          </w:tcPr>
          <w:p w:rsidR="00A82FB2" w:rsidRDefault="00A82FB2" w:rsidP="00D24F4B">
            <w:pPr>
              <w:jc w:val="center"/>
            </w:pPr>
            <w:r>
              <w:t>.388</w:t>
            </w:r>
          </w:p>
          <w:p w:rsidR="00A82FB2" w:rsidRDefault="00A82FB2" w:rsidP="00D24F4B">
            <w:pPr>
              <w:jc w:val="center"/>
            </w:pPr>
            <w:r>
              <w:t>(.019)</w:t>
            </w:r>
          </w:p>
        </w:tc>
        <w:tc>
          <w:tcPr>
            <w:tcW w:w="1003" w:type="dxa"/>
          </w:tcPr>
          <w:p w:rsidR="00A82FB2" w:rsidRDefault="00A82FB2" w:rsidP="00D24F4B">
            <w:pPr>
              <w:jc w:val="center"/>
            </w:pPr>
            <w:r>
              <w:t>.464</w:t>
            </w:r>
          </w:p>
          <w:p w:rsidR="00A82FB2" w:rsidRDefault="00A82FB2" w:rsidP="00D24F4B">
            <w:pPr>
              <w:jc w:val="center"/>
            </w:pPr>
            <w:r>
              <w:t>(.014)</w:t>
            </w:r>
          </w:p>
        </w:tc>
        <w:tc>
          <w:tcPr>
            <w:tcW w:w="1003" w:type="dxa"/>
          </w:tcPr>
          <w:p w:rsidR="00A82FB2" w:rsidRDefault="00A82FB2" w:rsidP="00D24F4B">
            <w:pPr>
              <w:jc w:val="center"/>
            </w:pPr>
            <w:r>
              <w:t>.613</w:t>
            </w:r>
          </w:p>
          <w:p w:rsidR="00A82FB2" w:rsidRDefault="00A82FB2" w:rsidP="00D24F4B">
            <w:pPr>
              <w:jc w:val="center"/>
            </w:pPr>
            <w:r>
              <w:t>(.015)</w:t>
            </w:r>
          </w:p>
        </w:tc>
        <w:tc>
          <w:tcPr>
            <w:tcW w:w="1003" w:type="dxa"/>
          </w:tcPr>
          <w:p w:rsidR="00A82FB2" w:rsidRDefault="00A82FB2" w:rsidP="00D24F4B">
            <w:pPr>
              <w:jc w:val="center"/>
            </w:pPr>
            <w:r>
              <w:t>.778</w:t>
            </w:r>
          </w:p>
          <w:p w:rsidR="00A82FB2" w:rsidRDefault="00A82FB2" w:rsidP="00D24F4B">
            <w:pPr>
              <w:jc w:val="center"/>
            </w:pPr>
            <w:r>
              <w:t>(.020)</w:t>
            </w:r>
          </w:p>
        </w:tc>
        <w:tc>
          <w:tcPr>
            <w:tcW w:w="1004" w:type="dxa"/>
          </w:tcPr>
          <w:p w:rsidR="00A82FB2" w:rsidRDefault="00A82FB2" w:rsidP="00D24F4B">
            <w:pPr>
              <w:jc w:val="center"/>
            </w:pPr>
            <w:r>
              <w:t>.908</w:t>
            </w:r>
          </w:p>
          <w:p w:rsidR="00A82FB2" w:rsidRDefault="00A82FB2" w:rsidP="00D24F4B">
            <w:pPr>
              <w:jc w:val="center"/>
            </w:pPr>
            <w:r>
              <w:t>(.025)</w:t>
            </w:r>
          </w:p>
        </w:tc>
      </w:tr>
      <w:tr w:rsidR="00A82FB2" w:rsidTr="00D24F4B">
        <w:tc>
          <w:tcPr>
            <w:tcW w:w="3840" w:type="dxa"/>
          </w:tcPr>
          <w:p w:rsidR="00A82FB2" w:rsidRDefault="00A82FB2" w:rsidP="00D24F4B">
            <w:r>
              <w:t>Wealth ($1000s)</w:t>
            </w:r>
          </w:p>
        </w:tc>
        <w:tc>
          <w:tcPr>
            <w:tcW w:w="1003" w:type="dxa"/>
          </w:tcPr>
          <w:p w:rsidR="00A82FB2" w:rsidRDefault="00A82FB2" w:rsidP="00D24F4B">
            <w:pPr>
              <w:jc w:val="center"/>
            </w:pPr>
            <w:r>
              <w:t>.6</w:t>
            </w:r>
          </w:p>
        </w:tc>
        <w:tc>
          <w:tcPr>
            <w:tcW w:w="1003" w:type="dxa"/>
          </w:tcPr>
          <w:p w:rsidR="00A82FB2" w:rsidRDefault="00A82FB2" w:rsidP="00D24F4B">
            <w:pPr>
              <w:jc w:val="center"/>
            </w:pPr>
            <w:r>
              <w:t>33.6</w:t>
            </w:r>
          </w:p>
        </w:tc>
        <w:tc>
          <w:tcPr>
            <w:tcW w:w="1003" w:type="dxa"/>
          </w:tcPr>
          <w:p w:rsidR="00A82FB2" w:rsidRDefault="00A82FB2" w:rsidP="00D24F4B">
            <w:pPr>
              <w:jc w:val="center"/>
            </w:pPr>
            <w:r>
              <w:t>143.0</w:t>
            </w:r>
          </w:p>
        </w:tc>
        <w:tc>
          <w:tcPr>
            <w:tcW w:w="1003" w:type="dxa"/>
          </w:tcPr>
          <w:p w:rsidR="00A82FB2" w:rsidRDefault="00A82FB2" w:rsidP="00D24F4B">
            <w:pPr>
              <w:jc w:val="center"/>
            </w:pPr>
            <w:r>
              <w:t>369.9</w:t>
            </w:r>
          </w:p>
        </w:tc>
        <w:tc>
          <w:tcPr>
            <w:tcW w:w="1004" w:type="dxa"/>
          </w:tcPr>
          <w:p w:rsidR="00A82FB2" w:rsidRDefault="00A82FB2" w:rsidP="00D24F4B">
            <w:pPr>
              <w:jc w:val="center"/>
            </w:pPr>
            <w:r>
              <w:t>859.5</w:t>
            </w:r>
          </w:p>
        </w:tc>
      </w:tr>
      <w:tr w:rsidR="00A82FB2" w:rsidTr="00D24F4B">
        <w:tc>
          <w:tcPr>
            <w:tcW w:w="3840" w:type="dxa"/>
          </w:tcPr>
          <w:p w:rsidR="00A82FB2" w:rsidRDefault="00A82FB2" w:rsidP="00D24F4B">
            <w:r>
              <w:t>Attendance at wealth percentile</w:t>
            </w:r>
          </w:p>
        </w:tc>
        <w:tc>
          <w:tcPr>
            <w:tcW w:w="1003" w:type="dxa"/>
          </w:tcPr>
          <w:p w:rsidR="00A82FB2" w:rsidRDefault="00A82FB2" w:rsidP="00D24F4B">
            <w:pPr>
              <w:jc w:val="center"/>
            </w:pPr>
            <w:r>
              <w:t>.358</w:t>
            </w:r>
          </w:p>
          <w:p w:rsidR="00A82FB2" w:rsidRDefault="00A82FB2" w:rsidP="00D24F4B">
            <w:pPr>
              <w:jc w:val="center"/>
            </w:pPr>
            <w:r>
              <w:t>(.020)</w:t>
            </w:r>
          </w:p>
        </w:tc>
        <w:tc>
          <w:tcPr>
            <w:tcW w:w="1003" w:type="dxa"/>
          </w:tcPr>
          <w:p w:rsidR="00A82FB2" w:rsidRDefault="00A82FB2" w:rsidP="00D24F4B">
            <w:pPr>
              <w:jc w:val="center"/>
            </w:pPr>
            <w:r>
              <w:t>.443</w:t>
            </w:r>
          </w:p>
          <w:p w:rsidR="00A82FB2" w:rsidRDefault="00A82FB2" w:rsidP="00D24F4B">
            <w:pPr>
              <w:jc w:val="center"/>
            </w:pPr>
            <w:r>
              <w:t>(.015)</w:t>
            </w:r>
          </w:p>
        </w:tc>
        <w:tc>
          <w:tcPr>
            <w:tcW w:w="1003" w:type="dxa"/>
          </w:tcPr>
          <w:p w:rsidR="00A82FB2" w:rsidRDefault="00A82FB2" w:rsidP="00D24F4B">
            <w:pPr>
              <w:jc w:val="center"/>
            </w:pPr>
            <w:r>
              <w:t>.642</w:t>
            </w:r>
          </w:p>
          <w:p w:rsidR="00A82FB2" w:rsidRDefault="00A82FB2" w:rsidP="00D24F4B">
            <w:pPr>
              <w:jc w:val="center"/>
            </w:pPr>
            <w:r>
              <w:t>(.020)</w:t>
            </w:r>
          </w:p>
        </w:tc>
        <w:tc>
          <w:tcPr>
            <w:tcW w:w="1003" w:type="dxa"/>
          </w:tcPr>
          <w:p w:rsidR="00A82FB2" w:rsidRDefault="00A82FB2" w:rsidP="00D24F4B">
            <w:pPr>
              <w:jc w:val="center"/>
            </w:pPr>
            <w:r>
              <w:t>.768</w:t>
            </w:r>
          </w:p>
          <w:p w:rsidR="00A82FB2" w:rsidRDefault="00A82FB2" w:rsidP="00D24F4B">
            <w:pPr>
              <w:jc w:val="center"/>
            </w:pPr>
            <w:r>
              <w:t>(.028)</w:t>
            </w:r>
          </w:p>
        </w:tc>
        <w:tc>
          <w:tcPr>
            <w:tcW w:w="1004" w:type="dxa"/>
          </w:tcPr>
          <w:p w:rsidR="00A82FB2" w:rsidRDefault="00A82FB2" w:rsidP="00D24F4B">
            <w:pPr>
              <w:jc w:val="center"/>
            </w:pPr>
            <w:r>
              <w:t>.914</w:t>
            </w:r>
          </w:p>
          <w:p w:rsidR="00A82FB2" w:rsidRDefault="00A82FB2" w:rsidP="00D24F4B">
            <w:pPr>
              <w:jc w:val="center"/>
            </w:pPr>
            <w:r>
              <w:t>(.049)</w:t>
            </w:r>
          </w:p>
        </w:tc>
      </w:tr>
      <w:tr w:rsidR="00A82FB2" w:rsidTr="00D24F4B">
        <w:tc>
          <w:tcPr>
            <w:tcW w:w="3840" w:type="dxa"/>
          </w:tcPr>
          <w:p w:rsidR="00A82FB2" w:rsidRDefault="00A82FB2" w:rsidP="00D24F4B"/>
        </w:tc>
        <w:tc>
          <w:tcPr>
            <w:tcW w:w="1003" w:type="dxa"/>
          </w:tcPr>
          <w:p w:rsidR="00A82FB2" w:rsidRDefault="00A82FB2" w:rsidP="00D24F4B">
            <w:pPr>
              <w:jc w:val="center"/>
            </w:pPr>
          </w:p>
        </w:tc>
        <w:tc>
          <w:tcPr>
            <w:tcW w:w="1003" w:type="dxa"/>
          </w:tcPr>
          <w:p w:rsidR="00A82FB2" w:rsidRDefault="00A82FB2" w:rsidP="00D24F4B">
            <w:pPr>
              <w:jc w:val="center"/>
            </w:pPr>
          </w:p>
        </w:tc>
        <w:tc>
          <w:tcPr>
            <w:tcW w:w="1003" w:type="dxa"/>
          </w:tcPr>
          <w:p w:rsidR="00A82FB2" w:rsidRDefault="00A82FB2" w:rsidP="00D24F4B">
            <w:pPr>
              <w:jc w:val="center"/>
            </w:pPr>
          </w:p>
        </w:tc>
        <w:tc>
          <w:tcPr>
            <w:tcW w:w="1003" w:type="dxa"/>
          </w:tcPr>
          <w:p w:rsidR="00A82FB2" w:rsidRDefault="00A82FB2" w:rsidP="00D24F4B">
            <w:pPr>
              <w:jc w:val="center"/>
            </w:pPr>
          </w:p>
        </w:tc>
        <w:tc>
          <w:tcPr>
            <w:tcW w:w="1004" w:type="dxa"/>
          </w:tcPr>
          <w:p w:rsidR="00A82FB2" w:rsidRDefault="00A82FB2" w:rsidP="00D24F4B">
            <w:pPr>
              <w:jc w:val="center"/>
            </w:pPr>
          </w:p>
        </w:tc>
      </w:tr>
    </w:tbl>
    <w:p w:rsidR="00A82FB2" w:rsidRDefault="00A82FB2" w:rsidP="00A82FB2">
      <w:r>
        <w:t>Notes:  These attendance rates are based on estimates from the local linear regressions.</w:t>
      </w:r>
    </w:p>
    <w:p w:rsidR="00A82FB2" w:rsidRDefault="00A82FB2" w:rsidP="00A82FB2"/>
    <w:p w:rsidR="00A82FB2" w:rsidRDefault="00A82FB2" w:rsidP="00A82FB2"/>
    <w:p w:rsidR="00A82FB2" w:rsidRDefault="00A82FB2" w:rsidP="00A82FB2"/>
    <w:p w:rsidR="00A82FB2" w:rsidRDefault="00A82FB2" w:rsidP="00A82FB2">
      <w:r>
        <w:br w:type="page"/>
      </w:r>
    </w:p>
    <w:p w:rsidR="00811A29" w:rsidRDefault="00811A29" w:rsidP="00811A29">
      <w:pPr>
        <w:jc w:val="center"/>
      </w:pPr>
      <w:r>
        <w:lastRenderedPageBreak/>
        <w:t>Appendix Table 2: Income and Wealth Coefficients for Table 3</w:t>
      </w:r>
    </w:p>
    <w:p w:rsidR="00811A29" w:rsidRDefault="00811A29" w:rsidP="00811A29"/>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9"/>
        <w:gridCol w:w="963"/>
        <w:gridCol w:w="963"/>
        <w:gridCol w:w="967"/>
        <w:gridCol w:w="289"/>
        <w:gridCol w:w="1017"/>
        <w:gridCol w:w="1017"/>
        <w:gridCol w:w="1011"/>
      </w:tblGrid>
      <w:tr w:rsidR="00811A29" w:rsidTr="00B60914">
        <w:tc>
          <w:tcPr>
            <w:tcW w:w="1748" w:type="pct"/>
            <w:tcBorders>
              <w:top w:val="single" w:sz="4" w:space="0" w:color="auto"/>
            </w:tcBorders>
          </w:tcPr>
          <w:p w:rsidR="00811A29" w:rsidRDefault="00811A29" w:rsidP="00811A29"/>
        </w:tc>
        <w:tc>
          <w:tcPr>
            <w:tcW w:w="1511" w:type="pct"/>
            <w:gridSpan w:val="3"/>
            <w:tcBorders>
              <w:top w:val="single" w:sz="4" w:space="0" w:color="auto"/>
              <w:bottom w:val="single" w:sz="4" w:space="0" w:color="auto"/>
            </w:tcBorders>
          </w:tcPr>
          <w:p w:rsidR="00811A29" w:rsidRDefault="00811A29" w:rsidP="00811A29">
            <w:pPr>
              <w:jc w:val="center"/>
            </w:pPr>
            <w:r>
              <w:t>PSID Full Sample</w:t>
            </w:r>
          </w:p>
        </w:tc>
        <w:tc>
          <w:tcPr>
            <w:tcW w:w="151" w:type="pct"/>
            <w:tcBorders>
              <w:top w:val="single" w:sz="4" w:space="0" w:color="auto"/>
            </w:tcBorders>
          </w:tcPr>
          <w:p w:rsidR="00811A29" w:rsidRDefault="00811A29" w:rsidP="00811A29">
            <w:pPr>
              <w:jc w:val="center"/>
            </w:pPr>
          </w:p>
        </w:tc>
        <w:tc>
          <w:tcPr>
            <w:tcW w:w="1591" w:type="pct"/>
            <w:gridSpan w:val="3"/>
            <w:tcBorders>
              <w:top w:val="single" w:sz="4" w:space="0" w:color="auto"/>
              <w:bottom w:val="single" w:sz="4" w:space="0" w:color="auto"/>
            </w:tcBorders>
          </w:tcPr>
          <w:p w:rsidR="00811A29" w:rsidRDefault="00811A29" w:rsidP="00811A29">
            <w:pPr>
              <w:jc w:val="center"/>
            </w:pPr>
            <w:r>
              <w:t>HRS</w:t>
            </w:r>
          </w:p>
        </w:tc>
      </w:tr>
      <w:tr w:rsidR="00811A29" w:rsidTr="00B60914">
        <w:tc>
          <w:tcPr>
            <w:tcW w:w="1748" w:type="pct"/>
            <w:tcBorders>
              <w:bottom w:val="single" w:sz="4" w:space="0" w:color="auto"/>
            </w:tcBorders>
          </w:tcPr>
          <w:p w:rsidR="00811A29" w:rsidRDefault="00811A29" w:rsidP="00811A29"/>
        </w:tc>
        <w:tc>
          <w:tcPr>
            <w:tcW w:w="503" w:type="pct"/>
            <w:tcBorders>
              <w:top w:val="single" w:sz="4" w:space="0" w:color="auto"/>
              <w:bottom w:val="single" w:sz="4" w:space="0" w:color="auto"/>
            </w:tcBorders>
          </w:tcPr>
          <w:p w:rsidR="00811A29" w:rsidRDefault="00811A29" w:rsidP="00811A29">
            <w:pPr>
              <w:jc w:val="center"/>
            </w:pPr>
            <w:r>
              <w:t>(1)</w:t>
            </w:r>
          </w:p>
        </w:tc>
        <w:tc>
          <w:tcPr>
            <w:tcW w:w="503" w:type="pct"/>
            <w:tcBorders>
              <w:top w:val="single" w:sz="4" w:space="0" w:color="auto"/>
              <w:bottom w:val="single" w:sz="4" w:space="0" w:color="auto"/>
            </w:tcBorders>
          </w:tcPr>
          <w:p w:rsidR="00811A29" w:rsidRDefault="00811A29" w:rsidP="00811A29">
            <w:pPr>
              <w:jc w:val="center"/>
            </w:pPr>
            <w:r>
              <w:t>(2)</w:t>
            </w:r>
          </w:p>
        </w:tc>
        <w:tc>
          <w:tcPr>
            <w:tcW w:w="505" w:type="pct"/>
            <w:tcBorders>
              <w:top w:val="single" w:sz="4" w:space="0" w:color="auto"/>
              <w:bottom w:val="single" w:sz="4" w:space="0" w:color="auto"/>
            </w:tcBorders>
          </w:tcPr>
          <w:p w:rsidR="00811A29" w:rsidRDefault="00811A29" w:rsidP="00811A29">
            <w:pPr>
              <w:jc w:val="center"/>
            </w:pPr>
            <w:r>
              <w:t>(3)</w:t>
            </w:r>
          </w:p>
        </w:tc>
        <w:tc>
          <w:tcPr>
            <w:tcW w:w="151" w:type="pct"/>
            <w:tcBorders>
              <w:bottom w:val="single" w:sz="4" w:space="0" w:color="auto"/>
            </w:tcBorders>
          </w:tcPr>
          <w:p w:rsidR="00811A29" w:rsidRDefault="00811A29" w:rsidP="00811A29">
            <w:pPr>
              <w:jc w:val="center"/>
            </w:pPr>
          </w:p>
        </w:tc>
        <w:tc>
          <w:tcPr>
            <w:tcW w:w="531" w:type="pct"/>
            <w:tcBorders>
              <w:top w:val="single" w:sz="4" w:space="0" w:color="auto"/>
              <w:bottom w:val="single" w:sz="4" w:space="0" w:color="auto"/>
            </w:tcBorders>
          </w:tcPr>
          <w:p w:rsidR="00811A29" w:rsidRDefault="00811A29" w:rsidP="00811A29">
            <w:pPr>
              <w:jc w:val="center"/>
            </w:pPr>
            <w:r>
              <w:t>(1)</w:t>
            </w:r>
          </w:p>
        </w:tc>
        <w:tc>
          <w:tcPr>
            <w:tcW w:w="531" w:type="pct"/>
            <w:tcBorders>
              <w:top w:val="single" w:sz="4" w:space="0" w:color="auto"/>
              <w:bottom w:val="single" w:sz="4" w:space="0" w:color="auto"/>
            </w:tcBorders>
          </w:tcPr>
          <w:p w:rsidR="00811A29" w:rsidRDefault="00811A29" w:rsidP="00811A29">
            <w:pPr>
              <w:jc w:val="center"/>
            </w:pPr>
            <w:r>
              <w:t>(2)</w:t>
            </w:r>
          </w:p>
        </w:tc>
        <w:tc>
          <w:tcPr>
            <w:tcW w:w="529" w:type="pct"/>
            <w:tcBorders>
              <w:top w:val="single" w:sz="4" w:space="0" w:color="auto"/>
              <w:bottom w:val="single" w:sz="4" w:space="0" w:color="auto"/>
            </w:tcBorders>
          </w:tcPr>
          <w:p w:rsidR="00811A29" w:rsidRDefault="00811A29" w:rsidP="00811A29">
            <w:pPr>
              <w:jc w:val="center"/>
            </w:pPr>
            <w:r>
              <w:t>(3)</w:t>
            </w:r>
          </w:p>
        </w:tc>
      </w:tr>
      <w:tr w:rsidR="00811A29" w:rsidTr="00B60914">
        <w:tc>
          <w:tcPr>
            <w:tcW w:w="1748" w:type="pct"/>
            <w:tcBorders>
              <w:top w:val="single" w:sz="4" w:space="0" w:color="auto"/>
            </w:tcBorders>
          </w:tcPr>
          <w:p w:rsidR="00811A29" w:rsidRDefault="00811A29" w:rsidP="00811A29"/>
        </w:tc>
        <w:tc>
          <w:tcPr>
            <w:tcW w:w="503" w:type="pct"/>
            <w:tcBorders>
              <w:top w:val="single" w:sz="4" w:space="0" w:color="auto"/>
            </w:tcBorders>
          </w:tcPr>
          <w:p w:rsidR="00811A29" w:rsidRDefault="00811A29" w:rsidP="00811A29">
            <w:pPr>
              <w:jc w:val="center"/>
            </w:pPr>
          </w:p>
        </w:tc>
        <w:tc>
          <w:tcPr>
            <w:tcW w:w="503" w:type="pct"/>
            <w:tcBorders>
              <w:top w:val="single" w:sz="4" w:space="0" w:color="auto"/>
            </w:tcBorders>
          </w:tcPr>
          <w:p w:rsidR="00811A29" w:rsidRDefault="00811A29" w:rsidP="00811A29">
            <w:pPr>
              <w:jc w:val="center"/>
            </w:pPr>
          </w:p>
        </w:tc>
        <w:tc>
          <w:tcPr>
            <w:tcW w:w="505" w:type="pct"/>
            <w:tcBorders>
              <w:top w:val="single" w:sz="4" w:space="0" w:color="auto"/>
            </w:tcBorders>
          </w:tcPr>
          <w:p w:rsidR="00811A29" w:rsidRDefault="00811A29" w:rsidP="00811A29">
            <w:pPr>
              <w:jc w:val="center"/>
            </w:pPr>
          </w:p>
        </w:tc>
        <w:tc>
          <w:tcPr>
            <w:tcW w:w="151" w:type="pct"/>
            <w:tcBorders>
              <w:top w:val="single" w:sz="4" w:space="0" w:color="auto"/>
            </w:tcBorders>
          </w:tcPr>
          <w:p w:rsidR="00811A29" w:rsidRDefault="00811A29" w:rsidP="00811A29">
            <w:pPr>
              <w:jc w:val="center"/>
            </w:pPr>
          </w:p>
        </w:tc>
        <w:tc>
          <w:tcPr>
            <w:tcW w:w="531" w:type="pct"/>
            <w:tcBorders>
              <w:top w:val="single" w:sz="4" w:space="0" w:color="auto"/>
            </w:tcBorders>
          </w:tcPr>
          <w:p w:rsidR="00811A29" w:rsidRDefault="00811A29" w:rsidP="00811A29">
            <w:pPr>
              <w:jc w:val="center"/>
            </w:pPr>
          </w:p>
        </w:tc>
        <w:tc>
          <w:tcPr>
            <w:tcW w:w="531" w:type="pct"/>
            <w:tcBorders>
              <w:top w:val="single" w:sz="4" w:space="0" w:color="auto"/>
            </w:tcBorders>
          </w:tcPr>
          <w:p w:rsidR="00811A29" w:rsidRDefault="00811A29" w:rsidP="00811A29">
            <w:pPr>
              <w:jc w:val="center"/>
            </w:pPr>
          </w:p>
        </w:tc>
        <w:tc>
          <w:tcPr>
            <w:tcW w:w="529" w:type="pct"/>
            <w:tcBorders>
              <w:top w:val="single" w:sz="4" w:space="0" w:color="auto"/>
            </w:tcBorders>
          </w:tcPr>
          <w:p w:rsidR="00811A29" w:rsidRDefault="00811A29" w:rsidP="00811A29">
            <w:pPr>
              <w:jc w:val="center"/>
            </w:pPr>
          </w:p>
        </w:tc>
      </w:tr>
      <w:tr w:rsidR="00811A29" w:rsidTr="00B60914">
        <w:tc>
          <w:tcPr>
            <w:tcW w:w="1748" w:type="pct"/>
          </w:tcPr>
          <w:p w:rsidR="00811A29" w:rsidRDefault="00811A29" w:rsidP="006B29CB">
            <w:r>
              <w:t>Income</w:t>
            </w:r>
            <w:r w:rsidR="00336665">
              <w:t xml:space="preserve"> / 10</w:t>
            </w:r>
            <w:r w:rsidR="006B29CB" w:rsidRPr="006B29CB">
              <w:rPr>
                <w:vertAlign w:val="superscript"/>
              </w:rPr>
              <w:t>2</w:t>
            </w:r>
          </w:p>
        </w:tc>
        <w:tc>
          <w:tcPr>
            <w:tcW w:w="503" w:type="pct"/>
          </w:tcPr>
          <w:p w:rsidR="00811A29" w:rsidRDefault="00811A29" w:rsidP="00811A29">
            <w:pPr>
              <w:jc w:val="center"/>
            </w:pPr>
          </w:p>
        </w:tc>
        <w:tc>
          <w:tcPr>
            <w:tcW w:w="503" w:type="pct"/>
          </w:tcPr>
          <w:p w:rsidR="00811A29" w:rsidRDefault="00336665" w:rsidP="00811A29">
            <w:pPr>
              <w:jc w:val="center"/>
            </w:pPr>
            <w:r>
              <w:t>3.1</w:t>
            </w:r>
          </w:p>
          <w:p w:rsidR="00336665" w:rsidRDefault="00336665" w:rsidP="00336665">
            <w:pPr>
              <w:jc w:val="center"/>
            </w:pPr>
            <w:r>
              <w:t>(0.4)</w:t>
            </w:r>
          </w:p>
        </w:tc>
        <w:tc>
          <w:tcPr>
            <w:tcW w:w="505" w:type="pct"/>
          </w:tcPr>
          <w:p w:rsidR="00811A29" w:rsidRDefault="00044C5A" w:rsidP="00811A29">
            <w:pPr>
              <w:jc w:val="center"/>
            </w:pPr>
            <w:r>
              <w:t>3.2</w:t>
            </w:r>
          </w:p>
          <w:p w:rsidR="00044C5A" w:rsidRDefault="00044C5A" w:rsidP="00811A29">
            <w:pPr>
              <w:jc w:val="center"/>
            </w:pPr>
            <w:r>
              <w:t>(0.4)</w:t>
            </w:r>
          </w:p>
        </w:tc>
        <w:tc>
          <w:tcPr>
            <w:tcW w:w="151" w:type="pct"/>
          </w:tcPr>
          <w:p w:rsidR="00811A29" w:rsidRDefault="00811A29" w:rsidP="00811A29">
            <w:pPr>
              <w:jc w:val="center"/>
            </w:pPr>
          </w:p>
        </w:tc>
        <w:tc>
          <w:tcPr>
            <w:tcW w:w="531" w:type="pct"/>
          </w:tcPr>
          <w:p w:rsidR="00811A29" w:rsidRDefault="00811A29" w:rsidP="00811A29">
            <w:pPr>
              <w:jc w:val="center"/>
            </w:pPr>
          </w:p>
        </w:tc>
        <w:tc>
          <w:tcPr>
            <w:tcW w:w="531" w:type="pct"/>
          </w:tcPr>
          <w:p w:rsidR="00811A29" w:rsidRDefault="0035386F" w:rsidP="00811A29">
            <w:pPr>
              <w:jc w:val="center"/>
            </w:pPr>
            <w:r>
              <w:t>2.9</w:t>
            </w:r>
          </w:p>
          <w:p w:rsidR="0035386F" w:rsidRDefault="0035386F" w:rsidP="00811A29">
            <w:pPr>
              <w:jc w:val="center"/>
            </w:pPr>
            <w:r>
              <w:t>(0.3)</w:t>
            </w:r>
          </w:p>
        </w:tc>
        <w:tc>
          <w:tcPr>
            <w:tcW w:w="529" w:type="pct"/>
          </w:tcPr>
          <w:p w:rsidR="00811A29" w:rsidRDefault="00483708" w:rsidP="00811A29">
            <w:pPr>
              <w:jc w:val="center"/>
            </w:pPr>
            <w:r>
              <w:t>2.1</w:t>
            </w:r>
          </w:p>
          <w:p w:rsidR="00483708" w:rsidRDefault="00483708" w:rsidP="00811A29">
            <w:pPr>
              <w:jc w:val="center"/>
            </w:pPr>
            <w:r>
              <w:t>(0.3)</w:t>
            </w:r>
          </w:p>
        </w:tc>
      </w:tr>
      <w:tr w:rsidR="00811A29" w:rsidTr="00B60914">
        <w:tc>
          <w:tcPr>
            <w:tcW w:w="1748" w:type="pct"/>
          </w:tcPr>
          <w:p w:rsidR="00811A29" w:rsidRDefault="00811A29" w:rsidP="006B29CB">
            <w:r>
              <w:t>Income square</w:t>
            </w:r>
            <w:r w:rsidR="00336665">
              <w:t xml:space="preserve"> / 10</w:t>
            </w:r>
            <w:r w:rsidR="006B29CB" w:rsidRPr="006B29CB">
              <w:rPr>
                <w:vertAlign w:val="superscript"/>
              </w:rPr>
              <w:t>4</w:t>
            </w:r>
          </w:p>
        </w:tc>
        <w:tc>
          <w:tcPr>
            <w:tcW w:w="503" w:type="pct"/>
          </w:tcPr>
          <w:p w:rsidR="00811A29" w:rsidRDefault="00811A29" w:rsidP="00811A29">
            <w:pPr>
              <w:jc w:val="center"/>
            </w:pPr>
          </w:p>
        </w:tc>
        <w:tc>
          <w:tcPr>
            <w:tcW w:w="503" w:type="pct"/>
          </w:tcPr>
          <w:p w:rsidR="00811A29" w:rsidRDefault="00F22470" w:rsidP="00811A29">
            <w:pPr>
              <w:jc w:val="center"/>
            </w:pPr>
            <w:r>
              <w:t>-7.5</w:t>
            </w:r>
          </w:p>
          <w:p w:rsidR="00F22470" w:rsidRDefault="00F22470" w:rsidP="00811A29">
            <w:pPr>
              <w:jc w:val="center"/>
            </w:pPr>
            <w:r>
              <w:t>(1.4)</w:t>
            </w:r>
          </w:p>
        </w:tc>
        <w:tc>
          <w:tcPr>
            <w:tcW w:w="505" w:type="pct"/>
          </w:tcPr>
          <w:p w:rsidR="00811A29" w:rsidRDefault="00D85261" w:rsidP="00811A29">
            <w:pPr>
              <w:jc w:val="center"/>
            </w:pPr>
            <w:r>
              <w:t>-9.9</w:t>
            </w:r>
          </w:p>
          <w:p w:rsidR="00D85261" w:rsidRDefault="00D85261" w:rsidP="00811A29">
            <w:pPr>
              <w:jc w:val="center"/>
            </w:pPr>
            <w:r>
              <w:t>(1.8)</w:t>
            </w:r>
          </w:p>
        </w:tc>
        <w:tc>
          <w:tcPr>
            <w:tcW w:w="151" w:type="pct"/>
          </w:tcPr>
          <w:p w:rsidR="00811A29" w:rsidRDefault="00811A29" w:rsidP="00811A29">
            <w:pPr>
              <w:jc w:val="center"/>
            </w:pPr>
          </w:p>
        </w:tc>
        <w:tc>
          <w:tcPr>
            <w:tcW w:w="531" w:type="pct"/>
          </w:tcPr>
          <w:p w:rsidR="00811A29" w:rsidRDefault="00811A29" w:rsidP="00811A29">
            <w:pPr>
              <w:jc w:val="center"/>
            </w:pPr>
          </w:p>
        </w:tc>
        <w:tc>
          <w:tcPr>
            <w:tcW w:w="531" w:type="pct"/>
          </w:tcPr>
          <w:p w:rsidR="00811A29" w:rsidRDefault="0035386F" w:rsidP="00811A29">
            <w:pPr>
              <w:jc w:val="center"/>
            </w:pPr>
            <w:r>
              <w:t>-7.2</w:t>
            </w:r>
          </w:p>
          <w:p w:rsidR="0035386F" w:rsidRDefault="0035386F" w:rsidP="00811A29">
            <w:pPr>
              <w:jc w:val="center"/>
            </w:pPr>
            <w:r>
              <w:t>(</w:t>
            </w:r>
            <w:r w:rsidR="00E05FED">
              <w:t>1.2</w:t>
            </w:r>
            <w:r>
              <w:t>)</w:t>
            </w:r>
          </w:p>
        </w:tc>
        <w:tc>
          <w:tcPr>
            <w:tcW w:w="529" w:type="pct"/>
          </w:tcPr>
          <w:p w:rsidR="00811A29" w:rsidRDefault="00483708" w:rsidP="00811A29">
            <w:pPr>
              <w:jc w:val="center"/>
            </w:pPr>
            <w:r>
              <w:t>-6.0</w:t>
            </w:r>
          </w:p>
          <w:p w:rsidR="00483708" w:rsidRDefault="00483708" w:rsidP="00811A29">
            <w:pPr>
              <w:jc w:val="center"/>
            </w:pPr>
            <w:r>
              <w:t>(1.2)</w:t>
            </w:r>
          </w:p>
        </w:tc>
      </w:tr>
      <w:tr w:rsidR="00811A29" w:rsidTr="00B60914">
        <w:tc>
          <w:tcPr>
            <w:tcW w:w="1748" w:type="pct"/>
          </w:tcPr>
          <w:p w:rsidR="00811A29" w:rsidRDefault="009720DE" w:rsidP="009720DE">
            <w:r>
              <w:t>Income cubic</w:t>
            </w:r>
            <w:r w:rsidR="006B29CB">
              <w:t xml:space="preserve"> / 10</w:t>
            </w:r>
            <w:r w:rsidR="006B29CB" w:rsidRPr="006B29CB">
              <w:rPr>
                <w:vertAlign w:val="superscript"/>
              </w:rPr>
              <w:t>6</w:t>
            </w:r>
          </w:p>
        </w:tc>
        <w:tc>
          <w:tcPr>
            <w:tcW w:w="503" w:type="pct"/>
          </w:tcPr>
          <w:p w:rsidR="00811A29" w:rsidRDefault="00811A29" w:rsidP="00811A29">
            <w:pPr>
              <w:jc w:val="center"/>
            </w:pPr>
          </w:p>
        </w:tc>
        <w:tc>
          <w:tcPr>
            <w:tcW w:w="503" w:type="pct"/>
          </w:tcPr>
          <w:p w:rsidR="00811A29" w:rsidRDefault="006B29CB" w:rsidP="00811A29">
            <w:pPr>
              <w:jc w:val="center"/>
            </w:pPr>
            <w:r>
              <w:t>5.1</w:t>
            </w:r>
          </w:p>
          <w:p w:rsidR="006B29CB" w:rsidRDefault="006B29CB" w:rsidP="00811A29">
            <w:pPr>
              <w:jc w:val="center"/>
            </w:pPr>
            <w:r>
              <w:t>(1.3)</w:t>
            </w:r>
          </w:p>
        </w:tc>
        <w:tc>
          <w:tcPr>
            <w:tcW w:w="505" w:type="pct"/>
          </w:tcPr>
          <w:p w:rsidR="00811A29" w:rsidRDefault="00D85261" w:rsidP="00811A29">
            <w:pPr>
              <w:jc w:val="center"/>
            </w:pPr>
            <w:r>
              <w:t>8.9</w:t>
            </w:r>
          </w:p>
          <w:p w:rsidR="00D85261" w:rsidRDefault="00D85261" w:rsidP="00811A29">
            <w:pPr>
              <w:jc w:val="center"/>
            </w:pPr>
            <w:r>
              <w:t>(2.0)</w:t>
            </w:r>
          </w:p>
        </w:tc>
        <w:tc>
          <w:tcPr>
            <w:tcW w:w="151" w:type="pct"/>
          </w:tcPr>
          <w:p w:rsidR="00811A29" w:rsidRDefault="00811A29" w:rsidP="00811A29">
            <w:pPr>
              <w:jc w:val="center"/>
            </w:pPr>
          </w:p>
        </w:tc>
        <w:tc>
          <w:tcPr>
            <w:tcW w:w="531" w:type="pct"/>
          </w:tcPr>
          <w:p w:rsidR="00811A29" w:rsidRDefault="00811A29" w:rsidP="00811A29">
            <w:pPr>
              <w:jc w:val="center"/>
            </w:pPr>
          </w:p>
        </w:tc>
        <w:tc>
          <w:tcPr>
            <w:tcW w:w="531" w:type="pct"/>
          </w:tcPr>
          <w:p w:rsidR="00811A29" w:rsidRDefault="00E05FED" w:rsidP="00811A29">
            <w:pPr>
              <w:jc w:val="center"/>
            </w:pPr>
            <w:r>
              <w:t>6.4</w:t>
            </w:r>
          </w:p>
          <w:p w:rsidR="00E05FED" w:rsidRDefault="00E05FED" w:rsidP="00811A29">
            <w:pPr>
              <w:jc w:val="center"/>
            </w:pPr>
            <w:r>
              <w:t>(1.4)</w:t>
            </w:r>
          </w:p>
        </w:tc>
        <w:tc>
          <w:tcPr>
            <w:tcW w:w="529" w:type="pct"/>
          </w:tcPr>
          <w:p w:rsidR="00811A29" w:rsidRDefault="00483708" w:rsidP="00811A29">
            <w:pPr>
              <w:jc w:val="center"/>
            </w:pPr>
            <w:r>
              <w:t>5.8</w:t>
            </w:r>
          </w:p>
          <w:p w:rsidR="00483708" w:rsidRDefault="00483708" w:rsidP="00811A29">
            <w:pPr>
              <w:jc w:val="center"/>
            </w:pPr>
            <w:r>
              <w:t>(1.4)</w:t>
            </w:r>
          </w:p>
        </w:tc>
      </w:tr>
      <w:tr w:rsidR="00811A29" w:rsidTr="00B60914">
        <w:tc>
          <w:tcPr>
            <w:tcW w:w="1748" w:type="pct"/>
          </w:tcPr>
          <w:p w:rsidR="00811A29" w:rsidRDefault="009720DE" w:rsidP="00811A29">
            <w:r>
              <w:t xml:space="preserve">Income </w:t>
            </w:r>
            <w:proofErr w:type="spellStart"/>
            <w:r>
              <w:t>quartic</w:t>
            </w:r>
            <w:proofErr w:type="spellEnd"/>
            <w:r w:rsidR="006B29CB">
              <w:t xml:space="preserve"> / 10</w:t>
            </w:r>
            <w:r w:rsidR="006B29CB" w:rsidRPr="006B29CB">
              <w:rPr>
                <w:vertAlign w:val="superscript"/>
              </w:rPr>
              <w:t>9</w:t>
            </w:r>
          </w:p>
        </w:tc>
        <w:tc>
          <w:tcPr>
            <w:tcW w:w="503" w:type="pct"/>
          </w:tcPr>
          <w:p w:rsidR="00811A29" w:rsidRDefault="00811A29" w:rsidP="00811A29">
            <w:pPr>
              <w:jc w:val="center"/>
            </w:pPr>
          </w:p>
        </w:tc>
        <w:tc>
          <w:tcPr>
            <w:tcW w:w="503" w:type="pct"/>
          </w:tcPr>
          <w:p w:rsidR="00811A29" w:rsidRDefault="006B29CB" w:rsidP="00811A29">
            <w:pPr>
              <w:jc w:val="center"/>
            </w:pPr>
            <w:r>
              <w:t>-9.8</w:t>
            </w:r>
          </w:p>
          <w:p w:rsidR="006B29CB" w:rsidRDefault="006B29CB" w:rsidP="00811A29">
            <w:pPr>
              <w:jc w:val="center"/>
            </w:pPr>
            <w:r>
              <w:t>(2.9)</w:t>
            </w:r>
          </w:p>
        </w:tc>
        <w:tc>
          <w:tcPr>
            <w:tcW w:w="505" w:type="pct"/>
          </w:tcPr>
          <w:p w:rsidR="00811A29" w:rsidRDefault="00D85261" w:rsidP="00811A29">
            <w:pPr>
              <w:jc w:val="center"/>
            </w:pPr>
            <w:r>
              <w:t>-19.3</w:t>
            </w:r>
          </w:p>
          <w:p w:rsidR="00D85261" w:rsidRDefault="00D85261" w:rsidP="00811A29">
            <w:pPr>
              <w:jc w:val="center"/>
            </w:pPr>
            <w:r>
              <w:t>(4.6)</w:t>
            </w:r>
          </w:p>
        </w:tc>
        <w:tc>
          <w:tcPr>
            <w:tcW w:w="151" w:type="pct"/>
          </w:tcPr>
          <w:p w:rsidR="00811A29" w:rsidRDefault="00811A29" w:rsidP="00811A29">
            <w:pPr>
              <w:jc w:val="center"/>
            </w:pPr>
          </w:p>
        </w:tc>
        <w:tc>
          <w:tcPr>
            <w:tcW w:w="531" w:type="pct"/>
          </w:tcPr>
          <w:p w:rsidR="00811A29" w:rsidRDefault="00811A29" w:rsidP="00811A29">
            <w:pPr>
              <w:jc w:val="center"/>
            </w:pPr>
          </w:p>
        </w:tc>
        <w:tc>
          <w:tcPr>
            <w:tcW w:w="531" w:type="pct"/>
          </w:tcPr>
          <w:p w:rsidR="00811A29" w:rsidRDefault="00E05FED" w:rsidP="00811A29">
            <w:pPr>
              <w:jc w:val="center"/>
            </w:pPr>
            <w:r>
              <w:t>-17.6</w:t>
            </w:r>
          </w:p>
          <w:p w:rsidR="00E05FED" w:rsidRDefault="00E05FED" w:rsidP="00811A29">
            <w:pPr>
              <w:jc w:val="center"/>
            </w:pPr>
            <w:r>
              <w:t>(4.5)</w:t>
            </w:r>
          </w:p>
        </w:tc>
        <w:tc>
          <w:tcPr>
            <w:tcW w:w="529" w:type="pct"/>
          </w:tcPr>
          <w:p w:rsidR="00483708" w:rsidRDefault="00483708" w:rsidP="00483708">
            <w:pPr>
              <w:jc w:val="center"/>
            </w:pPr>
            <w:r>
              <w:t>-16.7</w:t>
            </w:r>
          </w:p>
          <w:p w:rsidR="00483708" w:rsidRDefault="00483708" w:rsidP="00483708">
            <w:pPr>
              <w:jc w:val="center"/>
            </w:pPr>
            <w:r>
              <w:t>(4.6)</w:t>
            </w:r>
          </w:p>
        </w:tc>
      </w:tr>
      <w:tr w:rsidR="00811A29" w:rsidTr="00B60914">
        <w:tc>
          <w:tcPr>
            <w:tcW w:w="1748" w:type="pct"/>
          </w:tcPr>
          <w:p w:rsidR="00811A29" w:rsidRDefault="009720DE" w:rsidP="00811A29">
            <w:r>
              <w:t>Wealth</w:t>
            </w:r>
            <w:r w:rsidR="00B60914">
              <w:t xml:space="preserve"> / 10</w:t>
            </w:r>
            <w:r w:rsidR="00B60914" w:rsidRPr="00B60914">
              <w:rPr>
                <w:vertAlign w:val="superscript"/>
              </w:rPr>
              <w:t>3</w:t>
            </w:r>
          </w:p>
        </w:tc>
        <w:tc>
          <w:tcPr>
            <w:tcW w:w="503" w:type="pct"/>
          </w:tcPr>
          <w:p w:rsidR="00811A29" w:rsidRDefault="00811A29" w:rsidP="00811A29">
            <w:pPr>
              <w:jc w:val="center"/>
            </w:pPr>
          </w:p>
        </w:tc>
        <w:tc>
          <w:tcPr>
            <w:tcW w:w="503" w:type="pct"/>
          </w:tcPr>
          <w:p w:rsidR="00811A29" w:rsidRDefault="00811A29" w:rsidP="00811A29">
            <w:pPr>
              <w:jc w:val="center"/>
            </w:pPr>
          </w:p>
        </w:tc>
        <w:tc>
          <w:tcPr>
            <w:tcW w:w="505" w:type="pct"/>
          </w:tcPr>
          <w:p w:rsidR="00811A29" w:rsidRDefault="00B60914" w:rsidP="00811A29">
            <w:pPr>
              <w:jc w:val="center"/>
            </w:pPr>
            <w:r>
              <w:t>1.8</w:t>
            </w:r>
          </w:p>
          <w:p w:rsidR="00B60914" w:rsidRDefault="00B60914" w:rsidP="00B60914">
            <w:pPr>
              <w:jc w:val="center"/>
            </w:pPr>
            <w:r>
              <w:t>(0.4)</w:t>
            </w:r>
          </w:p>
        </w:tc>
        <w:tc>
          <w:tcPr>
            <w:tcW w:w="151" w:type="pct"/>
          </w:tcPr>
          <w:p w:rsidR="00811A29" w:rsidRDefault="00811A29" w:rsidP="00811A29">
            <w:pPr>
              <w:jc w:val="center"/>
            </w:pPr>
          </w:p>
        </w:tc>
        <w:tc>
          <w:tcPr>
            <w:tcW w:w="531" w:type="pct"/>
          </w:tcPr>
          <w:p w:rsidR="00811A29" w:rsidRDefault="00811A29" w:rsidP="00811A29">
            <w:pPr>
              <w:jc w:val="center"/>
            </w:pPr>
          </w:p>
        </w:tc>
        <w:tc>
          <w:tcPr>
            <w:tcW w:w="531" w:type="pct"/>
          </w:tcPr>
          <w:p w:rsidR="00811A29" w:rsidRDefault="00811A29" w:rsidP="00811A29">
            <w:pPr>
              <w:jc w:val="center"/>
            </w:pPr>
          </w:p>
        </w:tc>
        <w:tc>
          <w:tcPr>
            <w:tcW w:w="529" w:type="pct"/>
          </w:tcPr>
          <w:p w:rsidR="00811A29" w:rsidRDefault="006B6F1C" w:rsidP="00811A29">
            <w:pPr>
              <w:jc w:val="center"/>
            </w:pPr>
            <w:r>
              <w:t>3.5</w:t>
            </w:r>
          </w:p>
          <w:p w:rsidR="006B6F1C" w:rsidRDefault="006B6F1C" w:rsidP="00811A29">
            <w:pPr>
              <w:jc w:val="center"/>
            </w:pPr>
            <w:r>
              <w:t>(0.5)</w:t>
            </w:r>
          </w:p>
        </w:tc>
      </w:tr>
      <w:tr w:rsidR="009720DE" w:rsidTr="00B60914">
        <w:tc>
          <w:tcPr>
            <w:tcW w:w="1748" w:type="pct"/>
          </w:tcPr>
          <w:p w:rsidR="009720DE" w:rsidRDefault="009720DE" w:rsidP="00811A29">
            <w:r>
              <w:t>Wealth square</w:t>
            </w:r>
            <w:r w:rsidR="00B60914">
              <w:t xml:space="preserve"> / 10</w:t>
            </w:r>
            <w:r w:rsidR="00B60914" w:rsidRPr="00B60914">
              <w:rPr>
                <w:vertAlign w:val="superscript"/>
              </w:rPr>
              <w:t>6</w:t>
            </w:r>
          </w:p>
        </w:tc>
        <w:tc>
          <w:tcPr>
            <w:tcW w:w="503" w:type="pct"/>
          </w:tcPr>
          <w:p w:rsidR="009720DE" w:rsidRDefault="009720DE" w:rsidP="00811A29">
            <w:pPr>
              <w:jc w:val="center"/>
            </w:pPr>
          </w:p>
        </w:tc>
        <w:tc>
          <w:tcPr>
            <w:tcW w:w="503" w:type="pct"/>
          </w:tcPr>
          <w:p w:rsidR="009720DE" w:rsidRDefault="009720DE" w:rsidP="00811A29">
            <w:pPr>
              <w:jc w:val="center"/>
            </w:pPr>
          </w:p>
        </w:tc>
        <w:tc>
          <w:tcPr>
            <w:tcW w:w="505" w:type="pct"/>
          </w:tcPr>
          <w:p w:rsidR="009720DE" w:rsidRDefault="00B60914" w:rsidP="00811A29">
            <w:pPr>
              <w:jc w:val="center"/>
            </w:pPr>
            <w:r>
              <w:t>-3.0</w:t>
            </w:r>
          </w:p>
          <w:p w:rsidR="00B60914" w:rsidRDefault="00B60914" w:rsidP="00811A29">
            <w:pPr>
              <w:jc w:val="center"/>
            </w:pPr>
            <w:r>
              <w:t>(1.0)</w:t>
            </w:r>
          </w:p>
        </w:tc>
        <w:tc>
          <w:tcPr>
            <w:tcW w:w="151" w:type="pct"/>
          </w:tcPr>
          <w:p w:rsidR="009720DE" w:rsidRDefault="009720DE" w:rsidP="00811A29">
            <w:pPr>
              <w:jc w:val="center"/>
            </w:pPr>
          </w:p>
        </w:tc>
        <w:tc>
          <w:tcPr>
            <w:tcW w:w="531" w:type="pct"/>
          </w:tcPr>
          <w:p w:rsidR="009720DE" w:rsidRDefault="009720DE" w:rsidP="00811A29">
            <w:pPr>
              <w:jc w:val="center"/>
            </w:pPr>
          </w:p>
        </w:tc>
        <w:tc>
          <w:tcPr>
            <w:tcW w:w="531" w:type="pct"/>
          </w:tcPr>
          <w:p w:rsidR="009720DE" w:rsidRDefault="009720DE" w:rsidP="00811A29">
            <w:pPr>
              <w:jc w:val="center"/>
            </w:pPr>
          </w:p>
        </w:tc>
        <w:tc>
          <w:tcPr>
            <w:tcW w:w="529" w:type="pct"/>
          </w:tcPr>
          <w:p w:rsidR="009720DE" w:rsidRDefault="006B6F1C" w:rsidP="00811A29">
            <w:pPr>
              <w:jc w:val="center"/>
            </w:pPr>
            <w:r>
              <w:t>-15.4</w:t>
            </w:r>
          </w:p>
          <w:p w:rsidR="006B6F1C" w:rsidRDefault="006B6F1C" w:rsidP="00811A29">
            <w:pPr>
              <w:jc w:val="center"/>
            </w:pPr>
            <w:r>
              <w:t>(2.6)</w:t>
            </w:r>
          </w:p>
        </w:tc>
      </w:tr>
      <w:tr w:rsidR="009720DE" w:rsidTr="00B60914">
        <w:tc>
          <w:tcPr>
            <w:tcW w:w="1748" w:type="pct"/>
          </w:tcPr>
          <w:p w:rsidR="009720DE" w:rsidRPr="00B60914" w:rsidRDefault="009720DE" w:rsidP="00811A29">
            <w:pPr>
              <w:rPr>
                <w:vertAlign w:val="superscript"/>
              </w:rPr>
            </w:pPr>
            <w:r>
              <w:t>Wealth cubic</w:t>
            </w:r>
            <w:r w:rsidR="00B60914">
              <w:t xml:space="preserve"> / 10</w:t>
            </w:r>
            <w:r w:rsidR="00B60914">
              <w:rPr>
                <w:vertAlign w:val="superscript"/>
              </w:rPr>
              <w:t>9</w:t>
            </w:r>
          </w:p>
        </w:tc>
        <w:tc>
          <w:tcPr>
            <w:tcW w:w="503" w:type="pct"/>
          </w:tcPr>
          <w:p w:rsidR="009720DE" w:rsidRDefault="009720DE" w:rsidP="00811A29">
            <w:pPr>
              <w:jc w:val="center"/>
            </w:pPr>
          </w:p>
        </w:tc>
        <w:tc>
          <w:tcPr>
            <w:tcW w:w="503" w:type="pct"/>
          </w:tcPr>
          <w:p w:rsidR="009720DE" w:rsidRDefault="009720DE" w:rsidP="00811A29">
            <w:pPr>
              <w:jc w:val="center"/>
            </w:pPr>
          </w:p>
        </w:tc>
        <w:tc>
          <w:tcPr>
            <w:tcW w:w="505" w:type="pct"/>
          </w:tcPr>
          <w:p w:rsidR="009720DE" w:rsidRDefault="00B60914" w:rsidP="00811A29">
            <w:pPr>
              <w:jc w:val="center"/>
            </w:pPr>
            <w:r>
              <w:t>1.4</w:t>
            </w:r>
          </w:p>
          <w:p w:rsidR="00B60914" w:rsidRDefault="00B60914" w:rsidP="00811A29">
            <w:pPr>
              <w:jc w:val="center"/>
            </w:pPr>
            <w:r>
              <w:t>(0.6)</w:t>
            </w:r>
          </w:p>
        </w:tc>
        <w:tc>
          <w:tcPr>
            <w:tcW w:w="151" w:type="pct"/>
          </w:tcPr>
          <w:p w:rsidR="009720DE" w:rsidRDefault="009720DE" w:rsidP="00811A29">
            <w:pPr>
              <w:jc w:val="center"/>
            </w:pPr>
          </w:p>
        </w:tc>
        <w:tc>
          <w:tcPr>
            <w:tcW w:w="531" w:type="pct"/>
          </w:tcPr>
          <w:p w:rsidR="009720DE" w:rsidRDefault="009720DE" w:rsidP="00811A29">
            <w:pPr>
              <w:jc w:val="center"/>
            </w:pPr>
          </w:p>
        </w:tc>
        <w:tc>
          <w:tcPr>
            <w:tcW w:w="531" w:type="pct"/>
          </w:tcPr>
          <w:p w:rsidR="009720DE" w:rsidRDefault="009720DE" w:rsidP="00811A29">
            <w:pPr>
              <w:jc w:val="center"/>
            </w:pPr>
          </w:p>
        </w:tc>
        <w:tc>
          <w:tcPr>
            <w:tcW w:w="529" w:type="pct"/>
          </w:tcPr>
          <w:p w:rsidR="009720DE" w:rsidRDefault="006B6F1C" w:rsidP="00811A29">
            <w:pPr>
              <w:jc w:val="center"/>
            </w:pPr>
            <w:r>
              <w:t>20.5</w:t>
            </w:r>
          </w:p>
          <w:p w:rsidR="006B6F1C" w:rsidRDefault="006B6F1C" w:rsidP="00811A29">
            <w:pPr>
              <w:jc w:val="center"/>
            </w:pPr>
            <w:r>
              <w:t>(4.2)</w:t>
            </w:r>
          </w:p>
        </w:tc>
      </w:tr>
      <w:tr w:rsidR="009720DE" w:rsidTr="00B60914">
        <w:tc>
          <w:tcPr>
            <w:tcW w:w="1748" w:type="pct"/>
          </w:tcPr>
          <w:p w:rsidR="009720DE" w:rsidRDefault="009720DE" w:rsidP="00B60914">
            <w:r>
              <w:t xml:space="preserve">Wealth </w:t>
            </w:r>
            <w:proofErr w:type="spellStart"/>
            <w:r>
              <w:t>quartic</w:t>
            </w:r>
            <w:proofErr w:type="spellEnd"/>
            <w:r w:rsidR="00B60914">
              <w:t xml:space="preserve"> / 10</w:t>
            </w:r>
            <w:r w:rsidR="00B60914" w:rsidRPr="00B60914">
              <w:rPr>
                <w:vertAlign w:val="superscript"/>
              </w:rPr>
              <w:t>13</w:t>
            </w:r>
          </w:p>
        </w:tc>
        <w:tc>
          <w:tcPr>
            <w:tcW w:w="503" w:type="pct"/>
          </w:tcPr>
          <w:p w:rsidR="009720DE" w:rsidRDefault="009720DE" w:rsidP="00811A29">
            <w:pPr>
              <w:jc w:val="center"/>
            </w:pPr>
          </w:p>
        </w:tc>
        <w:tc>
          <w:tcPr>
            <w:tcW w:w="503" w:type="pct"/>
          </w:tcPr>
          <w:p w:rsidR="009720DE" w:rsidRDefault="009720DE" w:rsidP="00811A29">
            <w:pPr>
              <w:jc w:val="center"/>
            </w:pPr>
          </w:p>
        </w:tc>
        <w:tc>
          <w:tcPr>
            <w:tcW w:w="505" w:type="pct"/>
          </w:tcPr>
          <w:p w:rsidR="009720DE" w:rsidRDefault="00B60914" w:rsidP="00811A29">
            <w:pPr>
              <w:jc w:val="center"/>
            </w:pPr>
            <w:r>
              <w:t>-1.9</w:t>
            </w:r>
          </w:p>
          <w:p w:rsidR="00B60914" w:rsidRDefault="00B60914" w:rsidP="00811A29">
            <w:pPr>
              <w:jc w:val="center"/>
            </w:pPr>
            <w:r>
              <w:t>(0.9)</w:t>
            </w:r>
          </w:p>
        </w:tc>
        <w:tc>
          <w:tcPr>
            <w:tcW w:w="151" w:type="pct"/>
          </w:tcPr>
          <w:p w:rsidR="009720DE" w:rsidRDefault="009720DE" w:rsidP="00811A29">
            <w:pPr>
              <w:jc w:val="center"/>
            </w:pPr>
          </w:p>
        </w:tc>
        <w:tc>
          <w:tcPr>
            <w:tcW w:w="531" w:type="pct"/>
          </w:tcPr>
          <w:p w:rsidR="009720DE" w:rsidRDefault="009720DE" w:rsidP="00811A29">
            <w:pPr>
              <w:jc w:val="center"/>
            </w:pPr>
          </w:p>
        </w:tc>
        <w:tc>
          <w:tcPr>
            <w:tcW w:w="531" w:type="pct"/>
          </w:tcPr>
          <w:p w:rsidR="009720DE" w:rsidRDefault="009720DE" w:rsidP="00811A29">
            <w:pPr>
              <w:jc w:val="center"/>
            </w:pPr>
          </w:p>
        </w:tc>
        <w:tc>
          <w:tcPr>
            <w:tcW w:w="529" w:type="pct"/>
          </w:tcPr>
          <w:p w:rsidR="009720DE" w:rsidRDefault="006B6F1C" w:rsidP="00811A29">
            <w:pPr>
              <w:jc w:val="center"/>
            </w:pPr>
            <w:r>
              <w:t>-80.8</w:t>
            </w:r>
          </w:p>
          <w:p w:rsidR="006B6F1C" w:rsidRDefault="006B6F1C" w:rsidP="00811A29">
            <w:pPr>
              <w:jc w:val="center"/>
            </w:pPr>
            <w:r>
              <w:t>(19.1)</w:t>
            </w:r>
          </w:p>
        </w:tc>
      </w:tr>
      <w:tr w:rsidR="00811A29" w:rsidTr="00B60914">
        <w:tc>
          <w:tcPr>
            <w:tcW w:w="1748" w:type="pct"/>
            <w:tcBorders>
              <w:bottom w:val="single" w:sz="4" w:space="0" w:color="auto"/>
            </w:tcBorders>
          </w:tcPr>
          <w:p w:rsidR="00811A29" w:rsidRDefault="00811A29" w:rsidP="00811A29"/>
        </w:tc>
        <w:tc>
          <w:tcPr>
            <w:tcW w:w="503" w:type="pct"/>
            <w:tcBorders>
              <w:bottom w:val="single" w:sz="4" w:space="0" w:color="auto"/>
            </w:tcBorders>
          </w:tcPr>
          <w:p w:rsidR="00811A29" w:rsidRDefault="00811A29" w:rsidP="00811A29">
            <w:pPr>
              <w:jc w:val="center"/>
            </w:pPr>
          </w:p>
        </w:tc>
        <w:tc>
          <w:tcPr>
            <w:tcW w:w="503" w:type="pct"/>
            <w:tcBorders>
              <w:bottom w:val="single" w:sz="4" w:space="0" w:color="auto"/>
            </w:tcBorders>
          </w:tcPr>
          <w:p w:rsidR="00811A29" w:rsidRDefault="00811A29" w:rsidP="00811A29">
            <w:pPr>
              <w:jc w:val="center"/>
            </w:pPr>
          </w:p>
        </w:tc>
        <w:tc>
          <w:tcPr>
            <w:tcW w:w="505" w:type="pct"/>
            <w:tcBorders>
              <w:bottom w:val="single" w:sz="4" w:space="0" w:color="auto"/>
            </w:tcBorders>
          </w:tcPr>
          <w:p w:rsidR="00811A29" w:rsidRDefault="00811A29" w:rsidP="00811A29">
            <w:pPr>
              <w:jc w:val="center"/>
            </w:pPr>
          </w:p>
        </w:tc>
        <w:tc>
          <w:tcPr>
            <w:tcW w:w="151" w:type="pct"/>
            <w:tcBorders>
              <w:bottom w:val="single" w:sz="4" w:space="0" w:color="auto"/>
            </w:tcBorders>
          </w:tcPr>
          <w:p w:rsidR="00811A29" w:rsidRDefault="00811A29" w:rsidP="00811A29">
            <w:pPr>
              <w:jc w:val="center"/>
            </w:pPr>
          </w:p>
        </w:tc>
        <w:tc>
          <w:tcPr>
            <w:tcW w:w="531" w:type="pct"/>
            <w:tcBorders>
              <w:bottom w:val="single" w:sz="4" w:space="0" w:color="auto"/>
            </w:tcBorders>
          </w:tcPr>
          <w:p w:rsidR="00811A29" w:rsidRDefault="00811A29" w:rsidP="00811A29">
            <w:pPr>
              <w:jc w:val="center"/>
            </w:pPr>
          </w:p>
        </w:tc>
        <w:tc>
          <w:tcPr>
            <w:tcW w:w="531" w:type="pct"/>
            <w:tcBorders>
              <w:bottom w:val="single" w:sz="4" w:space="0" w:color="auto"/>
            </w:tcBorders>
          </w:tcPr>
          <w:p w:rsidR="00811A29" w:rsidRDefault="00811A29" w:rsidP="00811A29">
            <w:pPr>
              <w:jc w:val="center"/>
            </w:pPr>
          </w:p>
        </w:tc>
        <w:tc>
          <w:tcPr>
            <w:tcW w:w="529" w:type="pct"/>
            <w:tcBorders>
              <w:bottom w:val="single" w:sz="4" w:space="0" w:color="auto"/>
            </w:tcBorders>
          </w:tcPr>
          <w:p w:rsidR="00811A29" w:rsidRDefault="00811A29" w:rsidP="00811A29">
            <w:pPr>
              <w:jc w:val="center"/>
            </w:pPr>
          </w:p>
        </w:tc>
      </w:tr>
    </w:tbl>
    <w:p w:rsidR="00811A29" w:rsidRDefault="0064511F" w:rsidP="00811A29">
      <w:r>
        <w:t>Notes:  These coefficients are from the regressions that are specified in Table 3</w:t>
      </w:r>
      <w:r w:rsidR="00811A29">
        <w:t>.</w:t>
      </w:r>
    </w:p>
    <w:p w:rsidR="00811A29" w:rsidRDefault="00811A29" w:rsidP="00811A29"/>
    <w:p w:rsidR="00811A29" w:rsidRDefault="00811A29">
      <w:r>
        <w:br w:type="page"/>
      </w:r>
    </w:p>
    <w:p w:rsidR="00EF493C" w:rsidRDefault="00EF493C" w:rsidP="00EF493C">
      <w:pPr>
        <w:jc w:val="center"/>
      </w:pPr>
      <w:r>
        <w:lastRenderedPageBreak/>
        <w:t xml:space="preserve">Appendix Table 3: </w:t>
      </w:r>
      <w:proofErr w:type="spellStart"/>
      <w:r>
        <w:t>Logit</w:t>
      </w:r>
      <w:proofErr w:type="spellEnd"/>
      <w:r>
        <w:t xml:space="preserve"> Coefficients for Figure 5</w:t>
      </w:r>
    </w:p>
    <w:p w:rsidR="00EF493C" w:rsidRDefault="00EF493C" w:rsidP="00EF493C"/>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23"/>
        <w:gridCol w:w="1685"/>
        <w:gridCol w:w="1685"/>
        <w:gridCol w:w="1683"/>
      </w:tblGrid>
      <w:tr w:rsidR="00EF493C" w:rsidTr="00952A60">
        <w:tc>
          <w:tcPr>
            <w:tcW w:w="2361" w:type="pct"/>
            <w:tcBorders>
              <w:top w:val="single" w:sz="4" w:space="0" w:color="auto"/>
              <w:bottom w:val="single" w:sz="4" w:space="0" w:color="auto"/>
            </w:tcBorders>
          </w:tcPr>
          <w:p w:rsidR="00EF493C" w:rsidRDefault="00EF493C" w:rsidP="006A63E7"/>
        </w:tc>
        <w:tc>
          <w:tcPr>
            <w:tcW w:w="880" w:type="pct"/>
            <w:tcBorders>
              <w:top w:val="single" w:sz="4" w:space="0" w:color="auto"/>
              <w:bottom w:val="single" w:sz="4" w:space="0" w:color="auto"/>
            </w:tcBorders>
          </w:tcPr>
          <w:p w:rsidR="00EF493C" w:rsidRDefault="00EF493C" w:rsidP="006A63E7">
            <w:pPr>
              <w:jc w:val="center"/>
            </w:pPr>
          </w:p>
          <w:p w:rsidR="00EF493C" w:rsidRDefault="00EF493C" w:rsidP="006A63E7">
            <w:pPr>
              <w:jc w:val="center"/>
            </w:pPr>
            <w:r>
              <w:t>Panel A</w:t>
            </w:r>
          </w:p>
        </w:tc>
        <w:tc>
          <w:tcPr>
            <w:tcW w:w="880" w:type="pct"/>
            <w:tcBorders>
              <w:top w:val="single" w:sz="4" w:space="0" w:color="auto"/>
              <w:bottom w:val="single" w:sz="4" w:space="0" w:color="auto"/>
            </w:tcBorders>
          </w:tcPr>
          <w:p w:rsidR="00EF493C" w:rsidRDefault="00EF493C" w:rsidP="006A63E7">
            <w:pPr>
              <w:jc w:val="center"/>
            </w:pPr>
          </w:p>
          <w:p w:rsidR="00EF493C" w:rsidRDefault="00EF493C" w:rsidP="006A63E7">
            <w:pPr>
              <w:jc w:val="center"/>
            </w:pPr>
            <w:r>
              <w:t>Panel B</w:t>
            </w:r>
          </w:p>
        </w:tc>
        <w:tc>
          <w:tcPr>
            <w:tcW w:w="880" w:type="pct"/>
            <w:tcBorders>
              <w:top w:val="single" w:sz="4" w:space="0" w:color="auto"/>
              <w:bottom w:val="single" w:sz="4" w:space="0" w:color="auto"/>
            </w:tcBorders>
          </w:tcPr>
          <w:p w:rsidR="00EF493C" w:rsidRDefault="00EF493C" w:rsidP="006A63E7">
            <w:pPr>
              <w:jc w:val="center"/>
            </w:pPr>
          </w:p>
          <w:p w:rsidR="00EF493C" w:rsidRDefault="00EF493C" w:rsidP="006A63E7">
            <w:pPr>
              <w:jc w:val="center"/>
            </w:pPr>
            <w:r>
              <w:t>Panel C</w:t>
            </w:r>
          </w:p>
        </w:tc>
      </w:tr>
      <w:tr w:rsidR="00EF493C" w:rsidTr="00952A60">
        <w:tc>
          <w:tcPr>
            <w:tcW w:w="2361" w:type="pct"/>
            <w:tcBorders>
              <w:top w:val="single" w:sz="4" w:space="0" w:color="auto"/>
            </w:tcBorders>
          </w:tcPr>
          <w:p w:rsidR="00EF493C" w:rsidRDefault="00EF493C" w:rsidP="006A63E7"/>
        </w:tc>
        <w:tc>
          <w:tcPr>
            <w:tcW w:w="880" w:type="pct"/>
            <w:tcBorders>
              <w:top w:val="single" w:sz="4" w:space="0" w:color="auto"/>
            </w:tcBorders>
          </w:tcPr>
          <w:p w:rsidR="00EF493C" w:rsidRDefault="00EF493C" w:rsidP="006A63E7">
            <w:pPr>
              <w:jc w:val="center"/>
            </w:pPr>
          </w:p>
        </w:tc>
        <w:tc>
          <w:tcPr>
            <w:tcW w:w="880" w:type="pct"/>
            <w:tcBorders>
              <w:top w:val="single" w:sz="4" w:space="0" w:color="auto"/>
            </w:tcBorders>
          </w:tcPr>
          <w:p w:rsidR="00EF493C" w:rsidRDefault="00EF493C" w:rsidP="006A63E7">
            <w:pPr>
              <w:jc w:val="center"/>
            </w:pPr>
          </w:p>
        </w:tc>
        <w:tc>
          <w:tcPr>
            <w:tcW w:w="880" w:type="pct"/>
            <w:tcBorders>
              <w:top w:val="single" w:sz="4" w:space="0" w:color="auto"/>
            </w:tcBorders>
          </w:tcPr>
          <w:p w:rsidR="00EF493C" w:rsidRDefault="00EF493C" w:rsidP="006A63E7">
            <w:pPr>
              <w:jc w:val="center"/>
            </w:pPr>
          </w:p>
        </w:tc>
      </w:tr>
      <w:tr w:rsidR="00EF493C" w:rsidTr="00952A60">
        <w:tc>
          <w:tcPr>
            <w:tcW w:w="2361" w:type="pct"/>
          </w:tcPr>
          <w:p w:rsidR="00EF493C" w:rsidRDefault="00563976" w:rsidP="00563976">
            <w:r>
              <w:t>Middle GPA tercile</w:t>
            </w:r>
          </w:p>
        </w:tc>
        <w:tc>
          <w:tcPr>
            <w:tcW w:w="880" w:type="pct"/>
          </w:tcPr>
          <w:p w:rsidR="00EF493C" w:rsidRDefault="00424908" w:rsidP="006A63E7">
            <w:pPr>
              <w:jc w:val="center"/>
            </w:pPr>
            <w:r>
              <w:t>-.059</w:t>
            </w:r>
          </w:p>
          <w:p w:rsidR="00424908" w:rsidRDefault="00424908" w:rsidP="00424908">
            <w:pPr>
              <w:jc w:val="center"/>
            </w:pPr>
            <w:r>
              <w:t>(.550)</w:t>
            </w:r>
          </w:p>
        </w:tc>
        <w:tc>
          <w:tcPr>
            <w:tcW w:w="880" w:type="pct"/>
          </w:tcPr>
          <w:p w:rsidR="00EF493C" w:rsidRDefault="00952A60" w:rsidP="006A63E7">
            <w:pPr>
              <w:jc w:val="center"/>
            </w:pPr>
            <w:r>
              <w:t>-.834</w:t>
            </w:r>
          </w:p>
          <w:p w:rsidR="00952A60" w:rsidRDefault="00952A60" w:rsidP="006A63E7">
            <w:pPr>
              <w:jc w:val="center"/>
            </w:pPr>
            <w:r>
              <w:t>(.572)</w:t>
            </w:r>
          </w:p>
        </w:tc>
        <w:tc>
          <w:tcPr>
            <w:tcW w:w="880" w:type="pct"/>
          </w:tcPr>
          <w:p w:rsidR="00EF493C" w:rsidRDefault="00952A60" w:rsidP="00952A60">
            <w:pPr>
              <w:jc w:val="center"/>
            </w:pPr>
            <w:r>
              <w:t>-.382</w:t>
            </w:r>
          </w:p>
          <w:p w:rsidR="00952A60" w:rsidRDefault="00952A60" w:rsidP="00952A60">
            <w:pPr>
              <w:jc w:val="center"/>
            </w:pPr>
            <w:r>
              <w:t>(.466)</w:t>
            </w:r>
          </w:p>
        </w:tc>
      </w:tr>
      <w:tr w:rsidR="00EF493C" w:rsidTr="00952A60">
        <w:tc>
          <w:tcPr>
            <w:tcW w:w="2361" w:type="pct"/>
          </w:tcPr>
          <w:p w:rsidR="00EF493C" w:rsidRDefault="00563976" w:rsidP="006A63E7">
            <w:r>
              <w:t>Top GPA tercile</w:t>
            </w:r>
          </w:p>
        </w:tc>
        <w:tc>
          <w:tcPr>
            <w:tcW w:w="880" w:type="pct"/>
          </w:tcPr>
          <w:p w:rsidR="00EF493C" w:rsidRDefault="00424908" w:rsidP="006A63E7">
            <w:pPr>
              <w:jc w:val="center"/>
            </w:pPr>
            <w:r>
              <w:t>.047</w:t>
            </w:r>
          </w:p>
          <w:p w:rsidR="00424908" w:rsidRDefault="00424908" w:rsidP="00424908">
            <w:pPr>
              <w:jc w:val="center"/>
            </w:pPr>
            <w:r>
              <w:t>(.650)</w:t>
            </w:r>
          </w:p>
        </w:tc>
        <w:tc>
          <w:tcPr>
            <w:tcW w:w="880" w:type="pct"/>
          </w:tcPr>
          <w:p w:rsidR="00EF493C" w:rsidRDefault="00952A60" w:rsidP="006A63E7">
            <w:pPr>
              <w:jc w:val="center"/>
            </w:pPr>
            <w:r>
              <w:t>-.653</w:t>
            </w:r>
          </w:p>
          <w:p w:rsidR="00952A60" w:rsidRDefault="00952A60" w:rsidP="006A63E7">
            <w:pPr>
              <w:jc w:val="center"/>
            </w:pPr>
            <w:r>
              <w:t>(.520)</w:t>
            </w:r>
          </w:p>
        </w:tc>
        <w:tc>
          <w:tcPr>
            <w:tcW w:w="880" w:type="pct"/>
          </w:tcPr>
          <w:p w:rsidR="00EF493C" w:rsidRDefault="00952A60" w:rsidP="006A63E7">
            <w:pPr>
              <w:jc w:val="center"/>
            </w:pPr>
            <w:r>
              <w:t>-.572</w:t>
            </w:r>
          </w:p>
          <w:p w:rsidR="00952A60" w:rsidRDefault="00952A60" w:rsidP="006A63E7">
            <w:pPr>
              <w:jc w:val="center"/>
            </w:pPr>
            <w:r>
              <w:t>(.525)</w:t>
            </w:r>
          </w:p>
        </w:tc>
      </w:tr>
      <w:tr w:rsidR="00EF493C" w:rsidTr="00952A60">
        <w:tc>
          <w:tcPr>
            <w:tcW w:w="2361" w:type="pct"/>
          </w:tcPr>
          <w:p w:rsidR="00EF493C" w:rsidRDefault="00563976" w:rsidP="006A63E7">
            <w:r>
              <w:t>Income</w:t>
            </w:r>
          </w:p>
        </w:tc>
        <w:tc>
          <w:tcPr>
            <w:tcW w:w="880" w:type="pct"/>
          </w:tcPr>
          <w:p w:rsidR="00EF493C" w:rsidRDefault="00424908" w:rsidP="006A63E7">
            <w:pPr>
              <w:jc w:val="center"/>
            </w:pPr>
            <w:r>
              <w:t>.006</w:t>
            </w:r>
          </w:p>
          <w:p w:rsidR="00424908" w:rsidRDefault="00424908" w:rsidP="00424908">
            <w:pPr>
              <w:jc w:val="center"/>
            </w:pPr>
            <w:r>
              <w:t>(.003)</w:t>
            </w:r>
          </w:p>
        </w:tc>
        <w:tc>
          <w:tcPr>
            <w:tcW w:w="880" w:type="pct"/>
          </w:tcPr>
          <w:p w:rsidR="00EF493C" w:rsidRDefault="00952A60" w:rsidP="006A63E7">
            <w:pPr>
              <w:jc w:val="center"/>
            </w:pPr>
            <w:r>
              <w:t>.002</w:t>
            </w:r>
          </w:p>
          <w:p w:rsidR="00952A60" w:rsidRDefault="00952A60" w:rsidP="006A63E7">
            <w:pPr>
              <w:jc w:val="center"/>
            </w:pPr>
            <w:r>
              <w:t>(.003)</w:t>
            </w:r>
          </w:p>
        </w:tc>
        <w:tc>
          <w:tcPr>
            <w:tcW w:w="880" w:type="pct"/>
          </w:tcPr>
          <w:p w:rsidR="00EF493C" w:rsidRDefault="00952A60" w:rsidP="006A63E7">
            <w:pPr>
              <w:jc w:val="center"/>
            </w:pPr>
            <w:r>
              <w:t>-.001</w:t>
            </w:r>
          </w:p>
          <w:p w:rsidR="00952A60" w:rsidRDefault="00952A60" w:rsidP="006A63E7">
            <w:pPr>
              <w:jc w:val="center"/>
            </w:pPr>
            <w:r>
              <w:t>(.003)</w:t>
            </w:r>
          </w:p>
        </w:tc>
      </w:tr>
      <w:tr w:rsidR="00EF493C" w:rsidTr="00952A60">
        <w:tc>
          <w:tcPr>
            <w:tcW w:w="2361" w:type="pct"/>
          </w:tcPr>
          <w:p w:rsidR="00EF493C" w:rsidRDefault="00563976" w:rsidP="006A63E7">
            <w:r>
              <w:t>Income * Middle GPA tercile</w:t>
            </w:r>
          </w:p>
        </w:tc>
        <w:tc>
          <w:tcPr>
            <w:tcW w:w="880" w:type="pct"/>
          </w:tcPr>
          <w:p w:rsidR="00EF493C" w:rsidRDefault="00424908" w:rsidP="006A63E7">
            <w:pPr>
              <w:jc w:val="center"/>
            </w:pPr>
            <w:r>
              <w:t>.004</w:t>
            </w:r>
          </w:p>
          <w:p w:rsidR="00424908" w:rsidRDefault="00424908" w:rsidP="00424908">
            <w:pPr>
              <w:jc w:val="center"/>
            </w:pPr>
            <w:r>
              <w:t>(.006)</w:t>
            </w:r>
          </w:p>
        </w:tc>
        <w:tc>
          <w:tcPr>
            <w:tcW w:w="880" w:type="pct"/>
          </w:tcPr>
          <w:p w:rsidR="00EF493C" w:rsidRDefault="00952A60" w:rsidP="006A63E7">
            <w:pPr>
              <w:jc w:val="center"/>
            </w:pPr>
            <w:r>
              <w:t>.014</w:t>
            </w:r>
          </w:p>
          <w:p w:rsidR="00952A60" w:rsidRDefault="00952A60" w:rsidP="006A63E7">
            <w:pPr>
              <w:jc w:val="center"/>
            </w:pPr>
            <w:r>
              <w:t>(.007)</w:t>
            </w:r>
          </w:p>
        </w:tc>
        <w:tc>
          <w:tcPr>
            <w:tcW w:w="880" w:type="pct"/>
          </w:tcPr>
          <w:p w:rsidR="00EF493C" w:rsidRDefault="00952A60" w:rsidP="006A63E7">
            <w:pPr>
              <w:jc w:val="center"/>
            </w:pPr>
            <w:r>
              <w:t>.010</w:t>
            </w:r>
          </w:p>
          <w:p w:rsidR="00952A60" w:rsidRDefault="00952A60" w:rsidP="006A63E7">
            <w:pPr>
              <w:jc w:val="center"/>
            </w:pPr>
            <w:r>
              <w:t>(.004)</w:t>
            </w:r>
          </w:p>
        </w:tc>
      </w:tr>
      <w:tr w:rsidR="00EF493C" w:rsidTr="00952A60">
        <w:tc>
          <w:tcPr>
            <w:tcW w:w="2361" w:type="pct"/>
          </w:tcPr>
          <w:p w:rsidR="00EF493C" w:rsidRDefault="00563976" w:rsidP="006A63E7">
            <w:r>
              <w:t>Income * Top GPA tercile</w:t>
            </w:r>
          </w:p>
        </w:tc>
        <w:tc>
          <w:tcPr>
            <w:tcW w:w="880" w:type="pct"/>
          </w:tcPr>
          <w:p w:rsidR="00EF493C" w:rsidRDefault="00424908" w:rsidP="006A63E7">
            <w:pPr>
              <w:jc w:val="center"/>
            </w:pPr>
            <w:r>
              <w:t>.008</w:t>
            </w:r>
          </w:p>
          <w:p w:rsidR="00424908" w:rsidRDefault="00424908" w:rsidP="006A63E7">
            <w:pPr>
              <w:jc w:val="center"/>
            </w:pPr>
            <w:r>
              <w:t>(.008)</w:t>
            </w:r>
          </w:p>
        </w:tc>
        <w:tc>
          <w:tcPr>
            <w:tcW w:w="880" w:type="pct"/>
          </w:tcPr>
          <w:p w:rsidR="00EF493C" w:rsidRDefault="00952A60" w:rsidP="006A63E7">
            <w:pPr>
              <w:jc w:val="center"/>
            </w:pPr>
            <w:r>
              <w:t>.016</w:t>
            </w:r>
          </w:p>
          <w:p w:rsidR="00952A60" w:rsidRDefault="00952A60" w:rsidP="006A63E7">
            <w:pPr>
              <w:jc w:val="center"/>
            </w:pPr>
            <w:r>
              <w:t>(.006)</w:t>
            </w:r>
          </w:p>
        </w:tc>
        <w:tc>
          <w:tcPr>
            <w:tcW w:w="880" w:type="pct"/>
          </w:tcPr>
          <w:p w:rsidR="00EF493C" w:rsidRDefault="00952A60" w:rsidP="006A63E7">
            <w:pPr>
              <w:jc w:val="center"/>
            </w:pPr>
            <w:r>
              <w:t>.016</w:t>
            </w:r>
          </w:p>
          <w:p w:rsidR="00952A60" w:rsidRDefault="00952A60" w:rsidP="006A63E7">
            <w:pPr>
              <w:jc w:val="center"/>
            </w:pPr>
            <w:r>
              <w:t>(.005)</w:t>
            </w:r>
          </w:p>
        </w:tc>
      </w:tr>
      <w:tr w:rsidR="00EF493C" w:rsidTr="00952A60">
        <w:tc>
          <w:tcPr>
            <w:tcW w:w="2361" w:type="pct"/>
            <w:tcBorders>
              <w:bottom w:val="single" w:sz="4" w:space="0" w:color="auto"/>
            </w:tcBorders>
          </w:tcPr>
          <w:p w:rsidR="00EF493C" w:rsidRDefault="00EF493C" w:rsidP="006A63E7"/>
        </w:tc>
        <w:tc>
          <w:tcPr>
            <w:tcW w:w="880" w:type="pct"/>
            <w:tcBorders>
              <w:bottom w:val="single" w:sz="4" w:space="0" w:color="auto"/>
            </w:tcBorders>
          </w:tcPr>
          <w:p w:rsidR="00EF493C" w:rsidRDefault="00EF493C" w:rsidP="006A63E7">
            <w:pPr>
              <w:jc w:val="center"/>
            </w:pPr>
          </w:p>
        </w:tc>
        <w:tc>
          <w:tcPr>
            <w:tcW w:w="880" w:type="pct"/>
            <w:tcBorders>
              <w:bottom w:val="single" w:sz="4" w:space="0" w:color="auto"/>
            </w:tcBorders>
          </w:tcPr>
          <w:p w:rsidR="00EF493C" w:rsidRDefault="00EF493C" w:rsidP="006A63E7">
            <w:pPr>
              <w:jc w:val="center"/>
            </w:pPr>
          </w:p>
        </w:tc>
        <w:tc>
          <w:tcPr>
            <w:tcW w:w="880" w:type="pct"/>
            <w:tcBorders>
              <w:bottom w:val="single" w:sz="4" w:space="0" w:color="auto"/>
            </w:tcBorders>
          </w:tcPr>
          <w:p w:rsidR="00EF493C" w:rsidRDefault="00EF493C" w:rsidP="006A63E7">
            <w:pPr>
              <w:jc w:val="center"/>
            </w:pPr>
          </w:p>
        </w:tc>
      </w:tr>
    </w:tbl>
    <w:p w:rsidR="00EF493C" w:rsidRDefault="00EF493C" w:rsidP="00EF493C">
      <w:r>
        <w:t xml:space="preserve">Notes: </w:t>
      </w:r>
      <w:r w:rsidR="00FE7615">
        <w:t>These are the logic coefficients that are used to construct Figure 5</w:t>
      </w:r>
      <w:r>
        <w:t>.</w:t>
      </w:r>
      <w:r w:rsidR="007E1316">
        <w:t xml:space="preserve">  All results are weighted.</w:t>
      </w:r>
    </w:p>
    <w:p w:rsidR="00EF493C" w:rsidRDefault="00EF493C" w:rsidP="00A82FB2">
      <w:pPr>
        <w:jc w:val="center"/>
      </w:pPr>
    </w:p>
    <w:p w:rsidR="00EF493C" w:rsidRDefault="00EF493C">
      <w:r>
        <w:br w:type="page"/>
      </w:r>
    </w:p>
    <w:p w:rsidR="00A82FB2" w:rsidRDefault="00A82FB2" w:rsidP="00A82FB2">
      <w:pPr>
        <w:jc w:val="center"/>
      </w:pPr>
      <w:r>
        <w:lastRenderedPageBreak/>
        <w:t xml:space="preserve">Appendix Table </w:t>
      </w:r>
      <w:r w:rsidR="00EF493C">
        <w:t>4</w:t>
      </w:r>
      <w:r>
        <w:t xml:space="preserve">: Point Estimates and Standard Errors for Select Quantities </w:t>
      </w:r>
    </w:p>
    <w:p w:rsidR="00A82FB2" w:rsidRDefault="00A82FB2" w:rsidP="00A82FB2">
      <w:pPr>
        <w:jc w:val="center"/>
      </w:pPr>
      <w:proofErr w:type="gramStart"/>
      <w:r>
        <w:t>from</w:t>
      </w:r>
      <w:proofErr w:type="gramEnd"/>
      <w:r>
        <w:t xml:space="preserve"> Figure 5</w:t>
      </w:r>
    </w:p>
    <w:p w:rsidR="00A82FB2" w:rsidRDefault="00A82FB2" w:rsidP="00A82FB2"/>
    <w:tbl>
      <w:tblPr>
        <w:tblStyle w:val="TableGrid"/>
        <w:tblW w:w="5000" w:type="pct"/>
        <w:tblBorders>
          <w:left w:val="none" w:sz="0" w:space="0" w:color="auto"/>
          <w:right w:val="none" w:sz="0" w:space="0" w:color="auto"/>
          <w:insideH w:val="none" w:sz="0" w:space="0" w:color="auto"/>
          <w:insideV w:val="none" w:sz="0" w:space="0" w:color="auto"/>
        </w:tblBorders>
        <w:tblLook w:val="04A0"/>
      </w:tblPr>
      <w:tblGrid>
        <w:gridCol w:w="5238"/>
        <w:gridCol w:w="2170"/>
        <w:gridCol w:w="2168"/>
      </w:tblGrid>
      <w:tr w:rsidR="00A82FB2" w:rsidTr="00A82FB2">
        <w:tc>
          <w:tcPr>
            <w:tcW w:w="2735" w:type="pct"/>
            <w:tcBorders>
              <w:bottom w:val="nil"/>
            </w:tcBorders>
          </w:tcPr>
          <w:p w:rsidR="00A82FB2" w:rsidRDefault="00A82FB2" w:rsidP="00D24F4B"/>
        </w:tc>
        <w:tc>
          <w:tcPr>
            <w:tcW w:w="1133" w:type="pct"/>
            <w:tcBorders>
              <w:bottom w:val="nil"/>
            </w:tcBorders>
          </w:tcPr>
          <w:p w:rsidR="00A82FB2" w:rsidRDefault="00A82FB2" w:rsidP="00D24F4B">
            <w:pPr>
              <w:jc w:val="center"/>
            </w:pPr>
          </w:p>
        </w:tc>
        <w:tc>
          <w:tcPr>
            <w:tcW w:w="1133" w:type="pct"/>
            <w:tcBorders>
              <w:bottom w:val="nil"/>
            </w:tcBorders>
          </w:tcPr>
          <w:p w:rsidR="00A82FB2" w:rsidRDefault="00A82FB2" w:rsidP="00D24F4B">
            <w:pPr>
              <w:jc w:val="center"/>
            </w:pPr>
          </w:p>
        </w:tc>
      </w:tr>
      <w:tr w:rsidR="00A82FB2" w:rsidTr="00A82FB2">
        <w:tc>
          <w:tcPr>
            <w:tcW w:w="2735" w:type="pct"/>
            <w:tcBorders>
              <w:top w:val="nil"/>
              <w:bottom w:val="single" w:sz="4" w:space="0" w:color="auto"/>
            </w:tcBorders>
          </w:tcPr>
          <w:p w:rsidR="00A82FB2" w:rsidRDefault="00A82FB2" w:rsidP="00D24F4B"/>
        </w:tc>
        <w:tc>
          <w:tcPr>
            <w:tcW w:w="1133" w:type="pct"/>
            <w:tcBorders>
              <w:top w:val="nil"/>
              <w:bottom w:val="single" w:sz="4" w:space="0" w:color="auto"/>
            </w:tcBorders>
          </w:tcPr>
          <w:p w:rsidR="00A82FB2" w:rsidRDefault="00A82FB2" w:rsidP="00D24F4B">
            <w:pPr>
              <w:jc w:val="center"/>
            </w:pPr>
            <w:r>
              <w:t>25</w:t>
            </w:r>
            <w:r w:rsidRPr="00894A61">
              <w:rPr>
                <w:vertAlign w:val="superscript"/>
              </w:rPr>
              <w:t>th</w:t>
            </w:r>
          </w:p>
        </w:tc>
        <w:tc>
          <w:tcPr>
            <w:tcW w:w="1133" w:type="pct"/>
            <w:tcBorders>
              <w:top w:val="nil"/>
              <w:bottom w:val="single" w:sz="4" w:space="0" w:color="auto"/>
            </w:tcBorders>
          </w:tcPr>
          <w:p w:rsidR="00A82FB2" w:rsidRDefault="00A82FB2" w:rsidP="00D24F4B">
            <w:pPr>
              <w:jc w:val="center"/>
            </w:pPr>
            <w:r>
              <w:t>75</w:t>
            </w:r>
            <w:r w:rsidRPr="00894A61">
              <w:rPr>
                <w:vertAlign w:val="superscript"/>
              </w:rPr>
              <w:t>th</w:t>
            </w:r>
          </w:p>
        </w:tc>
      </w:tr>
      <w:tr w:rsidR="00A82FB2" w:rsidTr="00A82FB2">
        <w:tc>
          <w:tcPr>
            <w:tcW w:w="2735" w:type="pct"/>
          </w:tcPr>
          <w:p w:rsidR="00A82FB2" w:rsidRDefault="00A82FB2" w:rsidP="00D24F4B">
            <w:r>
              <w:t>Income ($1000s)</w:t>
            </w:r>
          </w:p>
        </w:tc>
        <w:tc>
          <w:tcPr>
            <w:tcW w:w="1133" w:type="pct"/>
          </w:tcPr>
          <w:p w:rsidR="00A82FB2" w:rsidRDefault="00A82FB2" w:rsidP="00D24F4B">
            <w:pPr>
              <w:jc w:val="center"/>
            </w:pPr>
            <w:r>
              <w:t>52.3</w:t>
            </w:r>
          </w:p>
        </w:tc>
        <w:tc>
          <w:tcPr>
            <w:tcW w:w="1133" w:type="pct"/>
          </w:tcPr>
          <w:p w:rsidR="00A82FB2" w:rsidRDefault="00A82FB2" w:rsidP="00D24F4B">
            <w:pPr>
              <w:jc w:val="center"/>
            </w:pPr>
            <w:r>
              <w:t>125.6</w:t>
            </w:r>
          </w:p>
        </w:tc>
      </w:tr>
      <w:tr w:rsidR="00A82FB2" w:rsidTr="00A82FB2">
        <w:tc>
          <w:tcPr>
            <w:tcW w:w="2735" w:type="pct"/>
          </w:tcPr>
          <w:p w:rsidR="00A82FB2" w:rsidRDefault="00A82FB2" w:rsidP="00D24F4B">
            <w:r>
              <w:t>Any attendance, bottom GPA tercile</w:t>
            </w:r>
          </w:p>
        </w:tc>
        <w:tc>
          <w:tcPr>
            <w:tcW w:w="1133" w:type="pct"/>
          </w:tcPr>
          <w:p w:rsidR="00A82FB2" w:rsidRDefault="00A82FB2" w:rsidP="00D24F4B">
            <w:pPr>
              <w:jc w:val="center"/>
            </w:pPr>
            <w:r>
              <w:t>.572</w:t>
            </w:r>
          </w:p>
          <w:p w:rsidR="00A82FB2" w:rsidRDefault="00A82FB2" w:rsidP="00D24F4B">
            <w:pPr>
              <w:jc w:val="center"/>
            </w:pPr>
            <w:r>
              <w:t>(.052)</w:t>
            </w:r>
          </w:p>
        </w:tc>
        <w:tc>
          <w:tcPr>
            <w:tcW w:w="1133" w:type="pct"/>
          </w:tcPr>
          <w:p w:rsidR="00A82FB2" w:rsidRDefault="00A82FB2" w:rsidP="00D24F4B">
            <w:pPr>
              <w:jc w:val="center"/>
            </w:pPr>
            <w:r>
              <w:t>.674</w:t>
            </w:r>
          </w:p>
          <w:p w:rsidR="00A82FB2" w:rsidRDefault="00A82FB2" w:rsidP="00D24F4B">
            <w:pPr>
              <w:jc w:val="center"/>
            </w:pPr>
            <w:r>
              <w:t>(.057)</w:t>
            </w:r>
          </w:p>
        </w:tc>
      </w:tr>
      <w:tr w:rsidR="00A82FB2" w:rsidTr="00A82FB2">
        <w:tc>
          <w:tcPr>
            <w:tcW w:w="2735" w:type="pct"/>
          </w:tcPr>
          <w:p w:rsidR="00A82FB2" w:rsidRDefault="00A82FB2" w:rsidP="00D24F4B">
            <w:r>
              <w:t>Any attendance, middle GPA tercile</w:t>
            </w:r>
          </w:p>
        </w:tc>
        <w:tc>
          <w:tcPr>
            <w:tcW w:w="1133" w:type="pct"/>
          </w:tcPr>
          <w:p w:rsidR="00A82FB2" w:rsidRDefault="00A82FB2" w:rsidP="00D24F4B">
            <w:pPr>
              <w:jc w:val="center"/>
            </w:pPr>
            <w:r>
              <w:t>.604</w:t>
            </w:r>
          </w:p>
          <w:p w:rsidR="00A82FB2" w:rsidRDefault="00A82FB2" w:rsidP="00D24F4B">
            <w:pPr>
              <w:jc w:val="center"/>
            </w:pPr>
            <w:r>
              <w:t>(.052)</w:t>
            </w:r>
          </w:p>
        </w:tc>
        <w:tc>
          <w:tcPr>
            <w:tcW w:w="1133" w:type="pct"/>
          </w:tcPr>
          <w:p w:rsidR="00A82FB2" w:rsidRDefault="00A82FB2" w:rsidP="00D24F4B">
            <w:pPr>
              <w:jc w:val="center"/>
            </w:pPr>
            <w:r>
              <w:t>.754</w:t>
            </w:r>
          </w:p>
          <w:p w:rsidR="00A82FB2" w:rsidRDefault="00A82FB2" w:rsidP="00D24F4B">
            <w:pPr>
              <w:jc w:val="center"/>
            </w:pPr>
            <w:r>
              <w:t>(.059)</w:t>
            </w:r>
          </w:p>
        </w:tc>
      </w:tr>
      <w:tr w:rsidR="00A82FB2" w:rsidTr="00A82FB2">
        <w:tc>
          <w:tcPr>
            <w:tcW w:w="2735" w:type="pct"/>
          </w:tcPr>
          <w:p w:rsidR="00A82FB2" w:rsidRDefault="00A82FB2" w:rsidP="00D24F4B">
            <w:r>
              <w:t>Any attendance, top GPA tercile</w:t>
            </w:r>
          </w:p>
        </w:tc>
        <w:tc>
          <w:tcPr>
            <w:tcW w:w="1133" w:type="pct"/>
          </w:tcPr>
          <w:p w:rsidR="00A82FB2" w:rsidRDefault="00A82FB2" w:rsidP="00D24F4B">
            <w:pPr>
              <w:jc w:val="center"/>
            </w:pPr>
            <w:r>
              <w:t>.682</w:t>
            </w:r>
          </w:p>
          <w:p w:rsidR="00A82FB2" w:rsidRDefault="00A82FB2" w:rsidP="00D24F4B">
            <w:pPr>
              <w:jc w:val="center"/>
            </w:pPr>
            <w:r>
              <w:t>(.058)</w:t>
            </w:r>
          </w:p>
        </w:tc>
        <w:tc>
          <w:tcPr>
            <w:tcW w:w="1133" w:type="pct"/>
          </w:tcPr>
          <w:p w:rsidR="00A82FB2" w:rsidRDefault="00A82FB2" w:rsidP="00D24F4B">
            <w:pPr>
              <w:jc w:val="center"/>
            </w:pPr>
            <w:r>
              <w:t>.857</w:t>
            </w:r>
          </w:p>
          <w:p w:rsidR="00A82FB2" w:rsidRDefault="00A82FB2" w:rsidP="00D24F4B">
            <w:pPr>
              <w:jc w:val="center"/>
            </w:pPr>
            <w:r>
              <w:t>(.047)</w:t>
            </w:r>
          </w:p>
        </w:tc>
      </w:tr>
      <w:tr w:rsidR="00A82FB2" w:rsidTr="00A82FB2">
        <w:tc>
          <w:tcPr>
            <w:tcW w:w="2735" w:type="pct"/>
          </w:tcPr>
          <w:p w:rsidR="00A82FB2" w:rsidRDefault="00A82FB2" w:rsidP="00D24F4B">
            <w:r>
              <w:t>FT attendance, bottom GPA tercile</w:t>
            </w:r>
          </w:p>
        </w:tc>
        <w:tc>
          <w:tcPr>
            <w:tcW w:w="1133" w:type="pct"/>
          </w:tcPr>
          <w:p w:rsidR="00A82FB2" w:rsidRDefault="00A82FB2" w:rsidP="00D24F4B">
            <w:pPr>
              <w:jc w:val="center"/>
            </w:pPr>
            <w:r>
              <w:t>.454</w:t>
            </w:r>
          </w:p>
          <w:p w:rsidR="00A82FB2" w:rsidRDefault="00A82FB2" w:rsidP="00D24F4B">
            <w:pPr>
              <w:jc w:val="center"/>
            </w:pPr>
            <w:r>
              <w:t>(.051)</w:t>
            </w:r>
          </w:p>
        </w:tc>
        <w:tc>
          <w:tcPr>
            <w:tcW w:w="1133" w:type="pct"/>
          </w:tcPr>
          <w:p w:rsidR="00A82FB2" w:rsidRDefault="00A82FB2" w:rsidP="00D24F4B">
            <w:pPr>
              <w:jc w:val="center"/>
            </w:pPr>
            <w:r>
              <w:t>.494</w:t>
            </w:r>
          </w:p>
          <w:p w:rsidR="00A82FB2" w:rsidRDefault="00A82FB2" w:rsidP="00D24F4B">
            <w:pPr>
              <w:jc w:val="center"/>
            </w:pPr>
            <w:r>
              <w:t>(.054)</w:t>
            </w:r>
          </w:p>
        </w:tc>
      </w:tr>
      <w:tr w:rsidR="00A82FB2" w:rsidTr="00A82FB2">
        <w:tc>
          <w:tcPr>
            <w:tcW w:w="2735" w:type="pct"/>
          </w:tcPr>
          <w:p w:rsidR="00A82FB2" w:rsidRDefault="00A82FB2" w:rsidP="00D24F4B">
            <w:r>
              <w:t>FT attendance, middle GPA tercile</w:t>
            </w:r>
          </w:p>
        </w:tc>
        <w:tc>
          <w:tcPr>
            <w:tcW w:w="1133" w:type="pct"/>
          </w:tcPr>
          <w:p w:rsidR="00A82FB2" w:rsidRDefault="00A82FB2" w:rsidP="00D24F4B">
            <w:pPr>
              <w:jc w:val="center"/>
            </w:pPr>
            <w:r>
              <w:t>.427</w:t>
            </w:r>
          </w:p>
          <w:p w:rsidR="00A82FB2" w:rsidRDefault="00A82FB2" w:rsidP="00D24F4B">
            <w:pPr>
              <w:jc w:val="center"/>
            </w:pPr>
            <w:r>
              <w:t>(.055)</w:t>
            </w:r>
          </w:p>
        </w:tc>
        <w:tc>
          <w:tcPr>
            <w:tcW w:w="1133" w:type="pct"/>
          </w:tcPr>
          <w:p w:rsidR="00A82FB2" w:rsidRDefault="00A82FB2" w:rsidP="00D24F4B">
            <w:pPr>
              <w:jc w:val="center"/>
            </w:pPr>
            <w:r>
              <w:t>.707</w:t>
            </w:r>
          </w:p>
          <w:p w:rsidR="00A82FB2" w:rsidRDefault="00A82FB2" w:rsidP="00D24F4B">
            <w:pPr>
              <w:jc w:val="center"/>
            </w:pPr>
            <w:r>
              <w:t>(.072)</w:t>
            </w:r>
          </w:p>
        </w:tc>
      </w:tr>
      <w:tr w:rsidR="00A82FB2" w:rsidTr="00A82FB2">
        <w:tc>
          <w:tcPr>
            <w:tcW w:w="2735" w:type="pct"/>
          </w:tcPr>
          <w:p w:rsidR="00A82FB2" w:rsidRDefault="00A82FB2" w:rsidP="00D24F4B">
            <w:r>
              <w:t>FT attendance, top GPA tercile</w:t>
            </w:r>
          </w:p>
        </w:tc>
        <w:tc>
          <w:tcPr>
            <w:tcW w:w="1133" w:type="pct"/>
          </w:tcPr>
          <w:p w:rsidR="00A82FB2" w:rsidRDefault="00A82FB2" w:rsidP="00D24F4B">
            <w:pPr>
              <w:jc w:val="center"/>
            </w:pPr>
            <w:r>
              <w:t>.495</w:t>
            </w:r>
          </w:p>
          <w:p w:rsidR="00A82FB2" w:rsidRDefault="00A82FB2" w:rsidP="00D24F4B">
            <w:pPr>
              <w:jc w:val="center"/>
            </w:pPr>
            <w:r>
              <w:t>(.059)</w:t>
            </w:r>
          </w:p>
        </w:tc>
        <w:tc>
          <w:tcPr>
            <w:tcW w:w="1133" w:type="pct"/>
          </w:tcPr>
          <w:p w:rsidR="00A82FB2" w:rsidRDefault="00A82FB2" w:rsidP="00D24F4B">
            <w:pPr>
              <w:jc w:val="center"/>
            </w:pPr>
            <w:r>
              <w:t>.784</w:t>
            </w:r>
          </w:p>
          <w:p w:rsidR="00A82FB2" w:rsidRDefault="00A82FB2" w:rsidP="00D24F4B">
            <w:pPr>
              <w:jc w:val="center"/>
            </w:pPr>
            <w:r>
              <w:t>(.048)</w:t>
            </w:r>
          </w:p>
        </w:tc>
      </w:tr>
      <w:tr w:rsidR="00A82FB2" w:rsidTr="00A82FB2">
        <w:tc>
          <w:tcPr>
            <w:tcW w:w="2735" w:type="pct"/>
          </w:tcPr>
          <w:p w:rsidR="00A82FB2" w:rsidRDefault="00A82FB2" w:rsidP="00D24F4B">
            <w:r>
              <w:t>FT/4 attendance, bottom GPA tercile</w:t>
            </w:r>
          </w:p>
        </w:tc>
        <w:tc>
          <w:tcPr>
            <w:tcW w:w="1133" w:type="pct"/>
          </w:tcPr>
          <w:p w:rsidR="00A82FB2" w:rsidRDefault="00A82FB2" w:rsidP="00D24F4B">
            <w:pPr>
              <w:jc w:val="center"/>
            </w:pPr>
            <w:r>
              <w:t>.309</w:t>
            </w:r>
          </w:p>
          <w:p w:rsidR="00A82FB2" w:rsidRDefault="00A82FB2" w:rsidP="00D24F4B">
            <w:pPr>
              <w:jc w:val="center"/>
            </w:pPr>
            <w:r>
              <w:t>(.046)</w:t>
            </w:r>
          </w:p>
        </w:tc>
        <w:tc>
          <w:tcPr>
            <w:tcW w:w="1133" w:type="pct"/>
          </w:tcPr>
          <w:p w:rsidR="00A82FB2" w:rsidRDefault="00A82FB2" w:rsidP="00D24F4B">
            <w:pPr>
              <w:jc w:val="center"/>
            </w:pPr>
            <w:r>
              <w:t>.286</w:t>
            </w:r>
          </w:p>
          <w:p w:rsidR="00A82FB2" w:rsidRDefault="00A82FB2" w:rsidP="00D24F4B">
            <w:pPr>
              <w:jc w:val="center"/>
            </w:pPr>
            <w:r>
              <w:t>(.046)</w:t>
            </w:r>
          </w:p>
        </w:tc>
      </w:tr>
      <w:tr w:rsidR="00A82FB2" w:rsidTr="00A82FB2">
        <w:tc>
          <w:tcPr>
            <w:tcW w:w="2735" w:type="pct"/>
          </w:tcPr>
          <w:p w:rsidR="00A82FB2" w:rsidRDefault="00A82FB2" w:rsidP="00D24F4B">
            <w:r>
              <w:t>FT/4 attendance, middle GPA tercile</w:t>
            </w:r>
          </w:p>
        </w:tc>
        <w:tc>
          <w:tcPr>
            <w:tcW w:w="1133" w:type="pct"/>
          </w:tcPr>
          <w:p w:rsidR="00A82FB2" w:rsidRDefault="00A82FB2" w:rsidP="00D24F4B">
            <w:pPr>
              <w:jc w:val="center"/>
            </w:pPr>
            <w:r>
              <w:t>.336</w:t>
            </w:r>
          </w:p>
          <w:p w:rsidR="00A82FB2" w:rsidRDefault="00A82FB2" w:rsidP="00D24F4B">
            <w:pPr>
              <w:jc w:val="center"/>
            </w:pPr>
            <w:r>
              <w:t>(.047)</w:t>
            </w:r>
          </w:p>
        </w:tc>
        <w:tc>
          <w:tcPr>
            <w:tcW w:w="1133" w:type="pct"/>
          </w:tcPr>
          <w:p w:rsidR="00A82FB2" w:rsidRDefault="00A82FB2" w:rsidP="00D24F4B">
            <w:pPr>
              <w:jc w:val="center"/>
            </w:pPr>
            <w:r>
              <w:t>.480</w:t>
            </w:r>
          </w:p>
          <w:p w:rsidR="00A82FB2" w:rsidRDefault="00A82FB2" w:rsidP="00D24F4B">
            <w:pPr>
              <w:jc w:val="center"/>
            </w:pPr>
            <w:r>
              <w:t>(.053)</w:t>
            </w:r>
          </w:p>
        </w:tc>
      </w:tr>
      <w:tr w:rsidR="00A82FB2" w:rsidTr="00A82FB2">
        <w:tc>
          <w:tcPr>
            <w:tcW w:w="2735" w:type="pct"/>
          </w:tcPr>
          <w:p w:rsidR="00A82FB2" w:rsidRDefault="00A82FB2" w:rsidP="00D24F4B">
            <w:r>
              <w:t>FT/4 attendance, top GPA tercile</w:t>
            </w:r>
          </w:p>
        </w:tc>
        <w:tc>
          <w:tcPr>
            <w:tcW w:w="1133" w:type="pct"/>
          </w:tcPr>
          <w:p w:rsidR="00A82FB2" w:rsidRDefault="00A82FB2" w:rsidP="00D24F4B">
            <w:pPr>
              <w:jc w:val="center"/>
            </w:pPr>
            <w:r>
              <w:t>.365</w:t>
            </w:r>
          </w:p>
          <w:p w:rsidR="00A82FB2" w:rsidRDefault="00A82FB2" w:rsidP="00D24F4B">
            <w:pPr>
              <w:jc w:val="center"/>
            </w:pPr>
            <w:r>
              <w:t>(.056)</w:t>
            </w:r>
          </w:p>
        </w:tc>
        <w:tc>
          <w:tcPr>
            <w:tcW w:w="1133" w:type="pct"/>
          </w:tcPr>
          <w:p w:rsidR="00A82FB2" w:rsidRDefault="00A82FB2" w:rsidP="00D24F4B">
            <w:pPr>
              <w:jc w:val="center"/>
            </w:pPr>
            <w:r>
              <w:t>.622</w:t>
            </w:r>
          </w:p>
          <w:p w:rsidR="00A82FB2" w:rsidRDefault="00A82FB2" w:rsidP="00D24F4B">
            <w:pPr>
              <w:jc w:val="center"/>
            </w:pPr>
            <w:r>
              <w:t>(.056)</w:t>
            </w:r>
          </w:p>
        </w:tc>
      </w:tr>
    </w:tbl>
    <w:p w:rsidR="00A82FB2" w:rsidRDefault="00A82FB2" w:rsidP="00A82FB2">
      <w:r>
        <w:t xml:space="preserve">Notes:  These attendance rates are based on the </w:t>
      </w:r>
      <w:proofErr w:type="spellStart"/>
      <w:r>
        <w:t>logit</w:t>
      </w:r>
      <w:proofErr w:type="spellEnd"/>
      <w:r>
        <w:t xml:space="preserve"> regression specifying income linearly and interacted with each GPA tercile.</w:t>
      </w:r>
    </w:p>
    <w:p w:rsidR="00A82FB2" w:rsidRDefault="00A82FB2" w:rsidP="00A82FB2">
      <w:r>
        <w:br w:type="page"/>
      </w:r>
    </w:p>
    <w:p w:rsidR="00A82FB2" w:rsidRDefault="006A677E" w:rsidP="006A677E">
      <w:pPr>
        <w:jc w:val="center"/>
      </w:pPr>
      <w:r>
        <w:lastRenderedPageBreak/>
        <w:t xml:space="preserve">Appendix </w:t>
      </w:r>
      <w:r w:rsidR="00A82FB2">
        <w:t xml:space="preserve">Table </w:t>
      </w:r>
      <w:r w:rsidR="00EF493C">
        <w:t>5</w:t>
      </w:r>
      <w:r w:rsidR="00A82FB2">
        <w:t xml:space="preserve">: College attendance by GPA and </w:t>
      </w:r>
      <w:r>
        <w:t>income</w:t>
      </w:r>
      <w:r w:rsidR="00A82FB2">
        <w:t xml:space="preserve"> </w:t>
      </w:r>
      <w:proofErr w:type="spellStart"/>
      <w:r w:rsidR="00A82FB2">
        <w:t>terciles</w:t>
      </w:r>
      <w:proofErr w:type="spellEnd"/>
      <w:r w:rsidR="00A82FB2">
        <w:t>, PSID</w:t>
      </w:r>
    </w:p>
    <w:p w:rsidR="006A677E" w:rsidRDefault="006A677E" w:rsidP="006A677E">
      <w:pPr>
        <w:jc w:val="center"/>
      </w:pPr>
    </w:p>
    <w:tbl>
      <w:tblPr>
        <w:tblW w:w="5000" w:type="pct"/>
        <w:tblBorders>
          <w:top w:val="single" w:sz="4" w:space="0" w:color="auto"/>
          <w:bottom w:val="single" w:sz="4" w:space="0" w:color="auto"/>
        </w:tblBorders>
        <w:tblLook w:val="01E0"/>
      </w:tblPr>
      <w:tblGrid>
        <w:gridCol w:w="3429"/>
        <w:gridCol w:w="2049"/>
        <w:gridCol w:w="2049"/>
        <w:gridCol w:w="2049"/>
      </w:tblGrid>
      <w:tr w:rsidR="00A82FB2" w:rsidRPr="00006104" w:rsidTr="00D24F4B">
        <w:tc>
          <w:tcPr>
            <w:tcW w:w="1790" w:type="pct"/>
          </w:tcPr>
          <w:p w:rsidR="00A82FB2" w:rsidRPr="00006104" w:rsidRDefault="00A82FB2" w:rsidP="00D24F4B"/>
        </w:tc>
        <w:tc>
          <w:tcPr>
            <w:tcW w:w="1070" w:type="pct"/>
          </w:tcPr>
          <w:p w:rsidR="00A82FB2" w:rsidRPr="00006104" w:rsidRDefault="00A82FB2" w:rsidP="00D24F4B"/>
        </w:tc>
        <w:tc>
          <w:tcPr>
            <w:tcW w:w="1070" w:type="pct"/>
          </w:tcPr>
          <w:p w:rsidR="00A82FB2" w:rsidRPr="00006104" w:rsidRDefault="00A82FB2" w:rsidP="00D24F4B"/>
        </w:tc>
        <w:tc>
          <w:tcPr>
            <w:tcW w:w="1070" w:type="pct"/>
          </w:tcPr>
          <w:p w:rsidR="00A82FB2" w:rsidRPr="00006104" w:rsidRDefault="00A82FB2" w:rsidP="00D24F4B"/>
        </w:tc>
      </w:tr>
      <w:tr w:rsidR="00A82FB2" w:rsidRPr="00006104" w:rsidTr="00D24F4B">
        <w:tc>
          <w:tcPr>
            <w:tcW w:w="1790" w:type="pct"/>
            <w:tcBorders>
              <w:bottom w:val="nil"/>
            </w:tcBorders>
          </w:tcPr>
          <w:p w:rsidR="00A82FB2" w:rsidRPr="00006104" w:rsidRDefault="00A82FB2" w:rsidP="00D24F4B"/>
        </w:tc>
        <w:tc>
          <w:tcPr>
            <w:tcW w:w="1070" w:type="pct"/>
            <w:tcBorders>
              <w:bottom w:val="nil"/>
            </w:tcBorders>
          </w:tcPr>
          <w:p w:rsidR="00A82FB2" w:rsidRPr="00F3095D" w:rsidRDefault="00A82FB2" w:rsidP="00D24F4B">
            <w:pPr>
              <w:rPr>
                <w:u w:val="single"/>
              </w:rPr>
            </w:pPr>
          </w:p>
        </w:tc>
        <w:tc>
          <w:tcPr>
            <w:tcW w:w="1070" w:type="pct"/>
            <w:tcBorders>
              <w:bottom w:val="nil"/>
            </w:tcBorders>
          </w:tcPr>
          <w:p w:rsidR="00A82FB2" w:rsidRPr="00F3095D" w:rsidRDefault="00A82FB2" w:rsidP="00D24F4B">
            <w:pPr>
              <w:jc w:val="center"/>
              <w:rPr>
                <w:u w:val="single"/>
              </w:rPr>
            </w:pPr>
            <w:r w:rsidRPr="00F3095D">
              <w:rPr>
                <w:u w:val="single"/>
              </w:rPr>
              <w:t>GPA</w:t>
            </w:r>
            <w:r>
              <w:rPr>
                <w:u w:val="single"/>
              </w:rPr>
              <w:t xml:space="preserve"> tercile</w:t>
            </w:r>
          </w:p>
        </w:tc>
        <w:tc>
          <w:tcPr>
            <w:tcW w:w="1070" w:type="pct"/>
            <w:tcBorders>
              <w:bottom w:val="nil"/>
            </w:tcBorders>
          </w:tcPr>
          <w:p w:rsidR="00A82FB2" w:rsidRPr="00006104" w:rsidRDefault="00A82FB2" w:rsidP="00D24F4B"/>
        </w:tc>
      </w:tr>
      <w:tr w:rsidR="00A82FB2" w:rsidRPr="00006104" w:rsidTr="00D24F4B">
        <w:tc>
          <w:tcPr>
            <w:tcW w:w="1790" w:type="pct"/>
            <w:tcBorders>
              <w:top w:val="nil"/>
              <w:bottom w:val="single" w:sz="4" w:space="0" w:color="auto"/>
            </w:tcBorders>
          </w:tcPr>
          <w:p w:rsidR="00A82FB2" w:rsidRPr="00006104" w:rsidRDefault="00A82FB2" w:rsidP="00D24F4B"/>
        </w:tc>
        <w:tc>
          <w:tcPr>
            <w:tcW w:w="1070" w:type="pct"/>
            <w:tcBorders>
              <w:top w:val="nil"/>
              <w:bottom w:val="single" w:sz="4" w:space="0" w:color="auto"/>
            </w:tcBorders>
          </w:tcPr>
          <w:p w:rsidR="00A82FB2" w:rsidRPr="00006104" w:rsidRDefault="00A82FB2" w:rsidP="00D24F4B">
            <w:pPr>
              <w:jc w:val="center"/>
            </w:pPr>
            <w:r>
              <w:t>Bottom</w:t>
            </w:r>
          </w:p>
        </w:tc>
        <w:tc>
          <w:tcPr>
            <w:tcW w:w="1070" w:type="pct"/>
            <w:tcBorders>
              <w:top w:val="nil"/>
              <w:bottom w:val="single" w:sz="4" w:space="0" w:color="auto"/>
            </w:tcBorders>
          </w:tcPr>
          <w:p w:rsidR="00A82FB2" w:rsidRPr="00006104" w:rsidRDefault="00A82FB2" w:rsidP="00D24F4B">
            <w:pPr>
              <w:jc w:val="center"/>
            </w:pPr>
            <w:r>
              <w:t>Middle</w:t>
            </w:r>
          </w:p>
        </w:tc>
        <w:tc>
          <w:tcPr>
            <w:tcW w:w="1070" w:type="pct"/>
            <w:tcBorders>
              <w:top w:val="nil"/>
              <w:bottom w:val="single" w:sz="4" w:space="0" w:color="auto"/>
            </w:tcBorders>
          </w:tcPr>
          <w:p w:rsidR="00A82FB2" w:rsidRDefault="00A82FB2" w:rsidP="00D24F4B">
            <w:pPr>
              <w:jc w:val="center"/>
            </w:pPr>
            <w:r>
              <w:t>Top</w:t>
            </w:r>
          </w:p>
        </w:tc>
      </w:tr>
      <w:tr w:rsidR="00A82FB2" w:rsidRPr="00006104" w:rsidTr="00D24F4B">
        <w:tc>
          <w:tcPr>
            <w:tcW w:w="1790" w:type="pct"/>
          </w:tcPr>
          <w:p w:rsidR="00A82FB2" w:rsidRPr="00392BA5" w:rsidRDefault="00A82FB2" w:rsidP="00D24F4B">
            <w:pPr>
              <w:rPr>
                <w:u w:val="single"/>
              </w:rPr>
            </w:pPr>
            <w:r w:rsidRPr="00392BA5">
              <w:rPr>
                <w:u w:val="single"/>
              </w:rPr>
              <w:t xml:space="preserve">Income </w:t>
            </w:r>
            <w:proofErr w:type="spellStart"/>
            <w:r w:rsidRPr="00392BA5">
              <w:rPr>
                <w:u w:val="single"/>
              </w:rPr>
              <w:t>tercile</w:t>
            </w:r>
            <w:r>
              <w:rPr>
                <w:u w:val="single"/>
              </w:rPr>
              <w:t>s</w:t>
            </w:r>
            <w:proofErr w:type="spellEnd"/>
          </w:p>
        </w:tc>
        <w:tc>
          <w:tcPr>
            <w:tcW w:w="1070" w:type="pct"/>
          </w:tcPr>
          <w:p w:rsidR="00A82FB2" w:rsidRPr="00006104" w:rsidRDefault="00A82FB2" w:rsidP="00D24F4B">
            <w:pPr>
              <w:jc w:val="center"/>
            </w:pPr>
          </w:p>
        </w:tc>
        <w:tc>
          <w:tcPr>
            <w:tcW w:w="1070" w:type="pct"/>
          </w:tcPr>
          <w:p w:rsidR="00A82FB2" w:rsidRPr="00006104" w:rsidRDefault="00A82FB2" w:rsidP="00D24F4B">
            <w:pPr>
              <w:jc w:val="center"/>
            </w:pPr>
          </w:p>
        </w:tc>
        <w:tc>
          <w:tcPr>
            <w:tcW w:w="1070" w:type="pct"/>
          </w:tcPr>
          <w:p w:rsidR="00A82FB2" w:rsidRPr="00006104" w:rsidRDefault="00A82FB2" w:rsidP="00D24F4B">
            <w:pPr>
              <w:jc w:val="center"/>
            </w:pPr>
          </w:p>
        </w:tc>
      </w:tr>
      <w:tr w:rsidR="00A82FB2" w:rsidRPr="00006104" w:rsidTr="00D24F4B">
        <w:tc>
          <w:tcPr>
            <w:tcW w:w="1790" w:type="pct"/>
          </w:tcPr>
          <w:p w:rsidR="00A82FB2" w:rsidRDefault="00A82FB2" w:rsidP="00D24F4B">
            <w:r>
              <w:t>Top</w:t>
            </w:r>
          </w:p>
        </w:tc>
        <w:tc>
          <w:tcPr>
            <w:tcW w:w="1070" w:type="pct"/>
          </w:tcPr>
          <w:p w:rsidR="00A82FB2" w:rsidRDefault="00A82FB2" w:rsidP="00D24F4B">
            <w:pPr>
              <w:jc w:val="center"/>
            </w:pPr>
            <w:r>
              <w:t>.745</w:t>
            </w:r>
          </w:p>
          <w:p w:rsidR="00A82FB2" w:rsidRDefault="00A82FB2" w:rsidP="00D24F4B">
            <w:pPr>
              <w:jc w:val="center"/>
            </w:pPr>
            <w:r>
              <w:t>(.066)</w:t>
            </w:r>
          </w:p>
        </w:tc>
        <w:tc>
          <w:tcPr>
            <w:tcW w:w="1070" w:type="pct"/>
          </w:tcPr>
          <w:p w:rsidR="00A82FB2" w:rsidRDefault="00A82FB2" w:rsidP="00D24F4B">
            <w:pPr>
              <w:jc w:val="center"/>
            </w:pPr>
            <w:r>
              <w:t>.823</w:t>
            </w:r>
          </w:p>
          <w:p w:rsidR="00A82FB2" w:rsidRDefault="00A82FB2" w:rsidP="00D24F4B">
            <w:pPr>
              <w:jc w:val="center"/>
            </w:pPr>
            <w:r>
              <w:t>(.047)</w:t>
            </w:r>
          </w:p>
        </w:tc>
        <w:tc>
          <w:tcPr>
            <w:tcW w:w="1070" w:type="pct"/>
          </w:tcPr>
          <w:p w:rsidR="00A82FB2" w:rsidRDefault="00A82FB2" w:rsidP="00D24F4B">
            <w:pPr>
              <w:jc w:val="center"/>
            </w:pPr>
            <w:r>
              <w:t>.914</w:t>
            </w:r>
          </w:p>
          <w:p w:rsidR="00A82FB2" w:rsidRDefault="00A82FB2" w:rsidP="00D24F4B">
            <w:pPr>
              <w:jc w:val="center"/>
            </w:pPr>
            <w:r>
              <w:t>(.035)</w:t>
            </w:r>
          </w:p>
        </w:tc>
      </w:tr>
      <w:tr w:rsidR="00A82FB2" w:rsidRPr="00006104" w:rsidTr="00D24F4B">
        <w:tc>
          <w:tcPr>
            <w:tcW w:w="1790" w:type="pct"/>
          </w:tcPr>
          <w:p w:rsidR="00A82FB2" w:rsidRDefault="00A82FB2" w:rsidP="00D24F4B">
            <w:r>
              <w:t>Middle</w:t>
            </w:r>
          </w:p>
        </w:tc>
        <w:tc>
          <w:tcPr>
            <w:tcW w:w="1070" w:type="pct"/>
          </w:tcPr>
          <w:p w:rsidR="00A82FB2" w:rsidRDefault="00A82FB2" w:rsidP="00D24F4B">
            <w:pPr>
              <w:jc w:val="center"/>
            </w:pPr>
            <w:r>
              <w:t>.679</w:t>
            </w:r>
          </w:p>
          <w:p w:rsidR="00A82FB2" w:rsidRDefault="00A82FB2" w:rsidP="00D24F4B">
            <w:pPr>
              <w:jc w:val="center"/>
            </w:pPr>
            <w:r>
              <w:t>(.055)</w:t>
            </w:r>
          </w:p>
        </w:tc>
        <w:tc>
          <w:tcPr>
            <w:tcW w:w="1070" w:type="pct"/>
          </w:tcPr>
          <w:p w:rsidR="00A82FB2" w:rsidRDefault="00A82FB2" w:rsidP="00D24F4B">
            <w:pPr>
              <w:jc w:val="center"/>
            </w:pPr>
            <w:r>
              <w:t>.761</w:t>
            </w:r>
          </w:p>
          <w:p w:rsidR="00A82FB2" w:rsidRDefault="00A82FB2" w:rsidP="00D24F4B">
            <w:pPr>
              <w:jc w:val="center"/>
            </w:pPr>
            <w:r>
              <w:t>(.051)</w:t>
            </w:r>
          </w:p>
        </w:tc>
        <w:tc>
          <w:tcPr>
            <w:tcW w:w="1070" w:type="pct"/>
          </w:tcPr>
          <w:p w:rsidR="00A82FB2" w:rsidRDefault="00A82FB2" w:rsidP="00D24F4B">
            <w:pPr>
              <w:jc w:val="center"/>
            </w:pPr>
            <w:r>
              <w:t>.770</w:t>
            </w:r>
          </w:p>
          <w:p w:rsidR="00A82FB2" w:rsidRDefault="00A82FB2" w:rsidP="00D24F4B">
            <w:pPr>
              <w:jc w:val="center"/>
            </w:pPr>
            <w:r>
              <w:t>(.052)</w:t>
            </w:r>
          </w:p>
        </w:tc>
      </w:tr>
      <w:tr w:rsidR="00A82FB2" w:rsidRPr="00006104" w:rsidTr="00D24F4B">
        <w:tc>
          <w:tcPr>
            <w:tcW w:w="1790" w:type="pct"/>
          </w:tcPr>
          <w:p w:rsidR="00A82FB2" w:rsidRDefault="00A82FB2" w:rsidP="00D24F4B">
            <w:r>
              <w:t>Bottom</w:t>
            </w:r>
          </w:p>
        </w:tc>
        <w:tc>
          <w:tcPr>
            <w:tcW w:w="1070" w:type="pct"/>
          </w:tcPr>
          <w:p w:rsidR="00A82FB2" w:rsidRDefault="00A82FB2" w:rsidP="00D24F4B">
            <w:pPr>
              <w:jc w:val="center"/>
            </w:pPr>
            <w:r>
              <w:t>.488</w:t>
            </w:r>
          </w:p>
          <w:p w:rsidR="00A82FB2" w:rsidRPr="00006104" w:rsidRDefault="00A82FB2" w:rsidP="00D24F4B">
            <w:pPr>
              <w:jc w:val="center"/>
            </w:pPr>
            <w:r>
              <w:t>(.047)</w:t>
            </w:r>
          </w:p>
        </w:tc>
        <w:tc>
          <w:tcPr>
            <w:tcW w:w="1070" w:type="pct"/>
          </w:tcPr>
          <w:p w:rsidR="00A82FB2" w:rsidRDefault="00A82FB2" w:rsidP="00D24F4B">
            <w:pPr>
              <w:jc w:val="center"/>
            </w:pPr>
            <w:r>
              <w:t>.474</w:t>
            </w:r>
          </w:p>
          <w:p w:rsidR="00A82FB2" w:rsidRPr="00006104" w:rsidRDefault="00A82FB2" w:rsidP="00D24F4B">
            <w:pPr>
              <w:jc w:val="center"/>
            </w:pPr>
            <w:r>
              <w:t>(.049)</w:t>
            </w:r>
          </w:p>
        </w:tc>
        <w:tc>
          <w:tcPr>
            <w:tcW w:w="1070" w:type="pct"/>
          </w:tcPr>
          <w:p w:rsidR="00A82FB2" w:rsidRDefault="00A82FB2" w:rsidP="00D24F4B">
            <w:pPr>
              <w:jc w:val="center"/>
            </w:pPr>
            <w:r>
              <w:t>.617</w:t>
            </w:r>
          </w:p>
          <w:p w:rsidR="00A82FB2" w:rsidRPr="00006104" w:rsidRDefault="00A82FB2" w:rsidP="00D24F4B">
            <w:pPr>
              <w:jc w:val="center"/>
            </w:pPr>
            <w:r>
              <w:t>(.063)</w:t>
            </w:r>
          </w:p>
        </w:tc>
      </w:tr>
      <w:tr w:rsidR="00A82FB2" w:rsidRPr="00006104" w:rsidTr="00D24F4B">
        <w:tc>
          <w:tcPr>
            <w:tcW w:w="1790" w:type="pct"/>
          </w:tcPr>
          <w:p w:rsidR="00A82FB2" w:rsidRDefault="00A82FB2" w:rsidP="00D24F4B"/>
        </w:tc>
        <w:tc>
          <w:tcPr>
            <w:tcW w:w="1070" w:type="pct"/>
          </w:tcPr>
          <w:p w:rsidR="00A82FB2" w:rsidRPr="00006104" w:rsidRDefault="00A82FB2" w:rsidP="00D24F4B">
            <w:pPr>
              <w:jc w:val="center"/>
            </w:pPr>
          </w:p>
        </w:tc>
        <w:tc>
          <w:tcPr>
            <w:tcW w:w="1070" w:type="pct"/>
          </w:tcPr>
          <w:p w:rsidR="00A82FB2" w:rsidRPr="00006104" w:rsidRDefault="00A82FB2" w:rsidP="00D24F4B">
            <w:pPr>
              <w:jc w:val="center"/>
            </w:pPr>
          </w:p>
        </w:tc>
        <w:tc>
          <w:tcPr>
            <w:tcW w:w="1070" w:type="pct"/>
          </w:tcPr>
          <w:p w:rsidR="00A82FB2" w:rsidRPr="00006104" w:rsidRDefault="00A82FB2" w:rsidP="00D24F4B">
            <w:pPr>
              <w:jc w:val="center"/>
            </w:pPr>
          </w:p>
        </w:tc>
      </w:tr>
    </w:tbl>
    <w:p w:rsidR="00A82FB2" w:rsidRDefault="00A82FB2" w:rsidP="00A82FB2">
      <w:r>
        <w:t xml:space="preserve">Notes:  These results are based on the </w:t>
      </w:r>
      <w:r w:rsidR="006A677E">
        <w:t>TA sample</w:t>
      </w:r>
      <w:r>
        <w:t>.</w:t>
      </w:r>
      <w:r w:rsidRPr="00BF3365">
        <w:t xml:space="preserve"> </w:t>
      </w:r>
      <w:r>
        <w:t xml:space="preserve">All results are weighted.  </w:t>
      </w:r>
    </w:p>
    <w:p w:rsidR="00A82FB2" w:rsidRDefault="00A82FB2" w:rsidP="00A82FB2"/>
    <w:p w:rsidR="00A82FB2" w:rsidRDefault="00A82FB2">
      <w:pPr>
        <w:rPr>
          <w:b/>
        </w:rPr>
      </w:pPr>
      <w:r>
        <w:rPr>
          <w:b/>
        </w:rPr>
        <w:br w:type="page"/>
      </w:r>
    </w:p>
    <w:p w:rsidR="004D3502" w:rsidRPr="00222207" w:rsidRDefault="004D3502" w:rsidP="004D3502">
      <w:r w:rsidRPr="00222207">
        <w:rPr>
          <w:b/>
        </w:rPr>
        <w:lastRenderedPageBreak/>
        <w:t>References</w:t>
      </w:r>
    </w:p>
    <w:p w:rsidR="004D3502" w:rsidRPr="00B91E38" w:rsidRDefault="004D3502" w:rsidP="004D3502">
      <w:pPr>
        <w:jc w:val="center"/>
        <w:rPr>
          <w:u w:val="single"/>
        </w:rPr>
      </w:pPr>
    </w:p>
    <w:p w:rsidR="00EB19F1" w:rsidRDefault="00412659" w:rsidP="003652FD">
      <w:pPr>
        <w:ind w:left="360" w:hanging="360"/>
      </w:pPr>
      <w:proofErr w:type="gramStart"/>
      <w:r>
        <w:t xml:space="preserve">Avery C and C </w:t>
      </w:r>
      <w:proofErr w:type="spellStart"/>
      <w:r>
        <w:t>Hoxby</w:t>
      </w:r>
      <w:proofErr w:type="spellEnd"/>
      <w:r>
        <w:t>.</w:t>
      </w:r>
      <w:proofErr w:type="gramEnd"/>
      <w:r>
        <w:t xml:space="preserve"> 2012. The Missing “One-offs”: The Hidden Supply of High-Achieving, Low Income Students.  </w:t>
      </w:r>
      <w:proofErr w:type="gramStart"/>
      <w:r>
        <w:t>NBER Working Paper 18586.</w:t>
      </w:r>
      <w:proofErr w:type="gramEnd"/>
    </w:p>
    <w:p w:rsidR="00EB19F1" w:rsidRDefault="00EB19F1" w:rsidP="003652FD">
      <w:pPr>
        <w:ind w:left="360" w:hanging="360"/>
      </w:pPr>
    </w:p>
    <w:p w:rsidR="007C3EFA" w:rsidRDefault="007C3EFA" w:rsidP="003652FD">
      <w:pPr>
        <w:ind w:left="360" w:hanging="360"/>
      </w:pPr>
      <w:proofErr w:type="gramStart"/>
      <w:r>
        <w:t>Bailey</w:t>
      </w:r>
      <w:r w:rsidR="003652FD">
        <w:t xml:space="preserve"> M</w:t>
      </w:r>
      <w:r>
        <w:t xml:space="preserve"> and </w:t>
      </w:r>
      <w:r w:rsidR="003652FD">
        <w:t xml:space="preserve">S </w:t>
      </w:r>
      <w:proofErr w:type="spellStart"/>
      <w:r>
        <w:t>Dynarski</w:t>
      </w:r>
      <w:proofErr w:type="spellEnd"/>
      <w:r w:rsidR="00D20AAE">
        <w:t>.</w:t>
      </w:r>
      <w:proofErr w:type="gramEnd"/>
      <w:r w:rsidR="003652FD">
        <w:t xml:space="preserve"> 2011.  Inequality in College Entry and Completion.  Whither Opportunity? Rising Inequality and the Uncertain Life Chances of Low-Income Children (Greg Duncan and Richard </w:t>
      </w:r>
      <w:proofErr w:type="spellStart"/>
      <w:r w:rsidR="003652FD">
        <w:t>Murnane</w:t>
      </w:r>
      <w:proofErr w:type="spellEnd"/>
      <w:r w:rsidR="003652FD">
        <w:t xml:space="preserve">, </w:t>
      </w:r>
      <w:proofErr w:type="spellStart"/>
      <w:proofErr w:type="gramStart"/>
      <w:r w:rsidR="003652FD">
        <w:t>eds</w:t>
      </w:r>
      <w:proofErr w:type="spellEnd"/>
      <w:proofErr w:type="gramEnd"/>
      <w:r w:rsidR="003652FD">
        <w:t xml:space="preserve">). Russell Sage: New York. </w:t>
      </w:r>
    </w:p>
    <w:p w:rsidR="007C3EFA" w:rsidRDefault="007C3EFA" w:rsidP="003652FD">
      <w:pPr>
        <w:ind w:left="360" w:hanging="360"/>
      </w:pPr>
    </w:p>
    <w:p w:rsidR="00EB19F1" w:rsidRDefault="00EB19F1" w:rsidP="003652FD">
      <w:pPr>
        <w:ind w:left="360" w:hanging="360"/>
      </w:pPr>
      <w:r>
        <w:t>Becker</w:t>
      </w:r>
      <w:r w:rsidR="005823A1">
        <w:t xml:space="preserve"> G. </w:t>
      </w:r>
      <w:r w:rsidR="007331CE">
        <w:t>19</w:t>
      </w:r>
      <w:r w:rsidR="00D04B5F">
        <w:t>75</w:t>
      </w:r>
      <w:r w:rsidR="007331CE">
        <w:t>.  Human Capital</w:t>
      </w:r>
      <w:r w:rsidR="00D04B5F">
        <w:t>, 2</w:t>
      </w:r>
      <w:r w:rsidR="00D04B5F" w:rsidRPr="00D04B5F">
        <w:rPr>
          <w:vertAlign w:val="superscript"/>
        </w:rPr>
        <w:t>nd</w:t>
      </w:r>
      <w:r w:rsidR="00D04B5F">
        <w:t xml:space="preserve"> Edition</w:t>
      </w:r>
      <w:r w:rsidR="007331CE">
        <w:t>.  Columbia University Press: New York.</w:t>
      </w:r>
    </w:p>
    <w:p w:rsidR="00EB19F1" w:rsidRDefault="00EB19F1" w:rsidP="003652FD">
      <w:pPr>
        <w:ind w:left="360" w:hanging="360"/>
      </w:pPr>
    </w:p>
    <w:p w:rsidR="00EB19F1" w:rsidRDefault="00EB19F1" w:rsidP="003652FD">
      <w:pPr>
        <w:ind w:left="360" w:hanging="360"/>
      </w:pPr>
      <w:proofErr w:type="gramStart"/>
      <w:r>
        <w:t>Becker</w:t>
      </w:r>
      <w:r w:rsidR="004027DB">
        <w:t xml:space="preserve"> G</w:t>
      </w:r>
      <w:r>
        <w:t xml:space="preserve"> and </w:t>
      </w:r>
      <w:r w:rsidR="004027DB">
        <w:t xml:space="preserve">N </w:t>
      </w:r>
      <w:r>
        <w:t>Tomes</w:t>
      </w:r>
      <w:r w:rsidR="004027DB">
        <w:t>.</w:t>
      </w:r>
      <w:proofErr w:type="gramEnd"/>
      <w:r w:rsidR="004027DB">
        <w:t xml:space="preserve"> </w:t>
      </w:r>
      <w:r>
        <w:t>1979</w:t>
      </w:r>
      <w:r w:rsidR="004027DB">
        <w:t>. An Equilibrium Theory on the Distribution of Income and Intergenerational Mobility.  Journal of Political Economy 87(6):1153-1189.</w:t>
      </w:r>
    </w:p>
    <w:p w:rsidR="00EB19F1" w:rsidRDefault="00EB19F1" w:rsidP="003652FD">
      <w:pPr>
        <w:ind w:left="360" w:hanging="360"/>
      </w:pPr>
    </w:p>
    <w:p w:rsidR="00256AB6" w:rsidRDefault="00256AB6" w:rsidP="003652FD">
      <w:pPr>
        <w:ind w:left="360" w:hanging="360"/>
      </w:pPr>
      <w:proofErr w:type="gramStart"/>
      <w:r>
        <w:t>Becker G and N Tomes.</w:t>
      </w:r>
      <w:proofErr w:type="gramEnd"/>
      <w:r>
        <w:t xml:space="preserve"> 1986.  Human </w:t>
      </w:r>
      <w:r w:rsidR="0009112D">
        <w:t>C</w:t>
      </w:r>
      <w:r>
        <w:t xml:space="preserve">apital and the </w:t>
      </w:r>
      <w:r w:rsidR="0009112D">
        <w:t>R</w:t>
      </w:r>
      <w:r>
        <w:t xml:space="preserve">ise and </w:t>
      </w:r>
      <w:proofErr w:type="gramStart"/>
      <w:r w:rsidR="0009112D">
        <w:t>F</w:t>
      </w:r>
      <w:r>
        <w:t>all</w:t>
      </w:r>
      <w:proofErr w:type="gramEnd"/>
      <w:r>
        <w:t xml:space="preserve"> of </w:t>
      </w:r>
      <w:r w:rsidR="0009112D">
        <w:t>F</w:t>
      </w:r>
      <w:r>
        <w:t>amilies.  Journal of Labor Economics 4(3):1-39.</w:t>
      </w:r>
    </w:p>
    <w:p w:rsidR="00256AB6" w:rsidRDefault="00256AB6" w:rsidP="003652FD">
      <w:pPr>
        <w:ind w:left="360" w:hanging="360"/>
      </w:pPr>
    </w:p>
    <w:p w:rsidR="00737959" w:rsidRDefault="00256AB6" w:rsidP="003652FD">
      <w:pPr>
        <w:ind w:left="360" w:hanging="360"/>
      </w:pPr>
      <w:proofErr w:type="spellStart"/>
      <w:proofErr w:type="gramStart"/>
      <w:r>
        <w:t>Belley</w:t>
      </w:r>
      <w:proofErr w:type="spellEnd"/>
      <w:r>
        <w:t xml:space="preserve"> P and L Lochner.</w:t>
      </w:r>
      <w:proofErr w:type="gramEnd"/>
      <w:r>
        <w:t xml:space="preserve">  2007.  The </w:t>
      </w:r>
      <w:r w:rsidR="0009112D">
        <w:t>C</w:t>
      </w:r>
      <w:r>
        <w:t xml:space="preserve">hanging </w:t>
      </w:r>
      <w:r w:rsidR="0009112D">
        <w:t>R</w:t>
      </w:r>
      <w:r>
        <w:t xml:space="preserve">ole of </w:t>
      </w:r>
      <w:r w:rsidR="0009112D">
        <w:t>F</w:t>
      </w:r>
      <w:r>
        <w:t xml:space="preserve">amily </w:t>
      </w:r>
      <w:r w:rsidR="0009112D">
        <w:t>I</w:t>
      </w:r>
      <w:r>
        <w:t xml:space="preserve">ncome and </w:t>
      </w:r>
      <w:r w:rsidR="0009112D">
        <w:t>A</w:t>
      </w:r>
      <w:r>
        <w:t xml:space="preserve">bility in </w:t>
      </w:r>
      <w:r w:rsidR="0009112D">
        <w:t>D</w:t>
      </w:r>
      <w:r>
        <w:t xml:space="preserve">etermining </w:t>
      </w:r>
      <w:r w:rsidR="0009112D">
        <w:t>E</w:t>
      </w:r>
      <w:r>
        <w:t xml:space="preserve">ducational </w:t>
      </w:r>
      <w:r w:rsidR="0009112D">
        <w:t>A</w:t>
      </w:r>
      <w:r>
        <w:t>chievement.  Journal of Human Capital 1(1):37-89.</w:t>
      </w:r>
    </w:p>
    <w:p w:rsidR="0009112D" w:rsidRDefault="0009112D" w:rsidP="003652FD">
      <w:pPr>
        <w:ind w:left="360" w:hanging="360"/>
      </w:pPr>
    </w:p>
    <w:p w:rsidR="008A62DD" w:rsidRDefault="008A62DD" w:rsidP="003652FD">
      <w:pPr>
        <w:ind w:left="360" w:hanging="360"/>
      </w:pPr>
      <w:proofErr w:type="gramStart"/>
      <w:r>
        <w:t xml:space="preserve">Brown C, GJ Duncan, </w:t>
      </w:r>
      <w:r w:rsidR="002050D0">
        <w:t xml:space="preserve">and </w:t>
      </w:r>
      <w:r>
        <w:t>FP Stafford.</w:t>
      </w:r>
      <w:proofErr w:type="gramEnd"/>
      <w:r>
        <w:t xml:space="preserve">  1996.  The Panel Study of Income Dynamics.  Journal of Economic Perspectives 10(2):155-168.</w:t>
      </w:r>
    </w:p>
    <w:p w:rsidR="008A62DD" w:rsidRDefault="008A62DD" w:rsidP="003652FD">
      <w:pPr>
        <w:ind w:left="360" w:hanging="360"/>
      </w:pPr>
    </w:p>
    <w:p w:rsidR="0009112D" w:rsidRDefault="0009112D" w:rsidP="003652FD">
      <w:pPr>
        <w:ind w:left="360" w:hanging="360"/>
      </w:pPr>
      <w:proofErr w:type="gramStart"/>
      <w:r>
        <w:t xml:space="preserve">Brown M, JK </w:t>
      </w:r>
      <w:proofErr w:type="spellStart"/>
      <w:r>
        <w:t>Scholz</w:t>
      </w:r>
      <w:proofErr w:type="spellEnd"/>
      <w:r>
        <w:t xml:space="preserve">, and A </w:t>
      </w:r>
      <w:proofErr w:type="spellStart"/>
      <w:r>
        <w:t>Seshadri</w:t>
      </w:r>
      <w:proofErr w:type="spellEnd"/>
      <w:r>
        <w:t>.</w:t>
      </w:r>
      <w:proofErr w:type="gramEnd"/>
      <w:r>
        <w:t xml:space="preserve">  </w:t>
      </w:r>
      <w:r w:rsidR="00E913A0">
        <w:t>2012. A New Test of Borrowing Constrain</w:t>
      </w:r>
      <w:r w:rsidR="00657BC2">
        <w:t>t</w:t>
      </w:r>
      <w:r w:rsidR="00E913A0">
        <w:t>s for Education.  Review of Economic Studies 79:511-538.</w:t>
      </w:r>
    </w:p>
    <w:p w:rsidR="00737959" w:rsidRDefault="00737959" w:rsidP="003652FD">
      <w:pPr>
        <w:ind w:left="360" w:hanging="360"/>
      </w:pPr>
    </w:p>
    <w:p w:rsidR="00147C28" w:rsidRDefault="00147C28" w:rsidP="003652FD">
      <w:pPr>
        <w:ind w:left="360" w:hanging="360"/>
      </w:pPr>
      <w:proofErr w:type="gramStart"/>
      <w:r>
        <w:t>Cameron</w:t>
      </w:r>
      <w:r w:rsidR="00CB43C5">
        <w:t xml:space="preserve"> S</w:t>
      </w:r>
      <w:r>
        <w:t xml:space="preserve"> and </w:t>
      </w:r>
      <w:r w:rsidR="00CB43C5">
        <w:t xml:space="preserve">C </w:t>
      </w:r>
      <w:r>
        <w:t>Tab</w:t>
      </w:r>
      <w:r w:rsidR="00CB43C5">
        <w:t>e</w:t>
      </w:r>
      <w:r>
        <w:t>r.</w:t>
      </w:r>
      <w:proofErr w:type="gramEnd"/>
      <w:r>
        <w:t xml:space="preserve"> 2004.</w:t>
      </w:r>
      <w:r w:rsidR="00962ACF">
        <w:t xml:space="preserve"> Estimation of Educational Borrowing Constraints Using Returns to Schooling.  Journal of Political Economy 112:132-182.</w:t>
      </w:r>
    </w:p>
    <w:p w:rsidR="00147C28" w:rsidRDefault="00147C28" w:rsidP="003652FD">
      <w:pPr>
        <w:ind w:left="360" w:hanging="360"/>
      </w:pPr>
    </w:p>
    <w:p w:rsidR="006726D1" w:rsidRDefault="006726D1" w:rsidP="003652FD">
      <w:pPr>
        <w:ind w:left="360" w:hanging="360"/>
      </w:pPr>
      <w:proofErr w:type="gramStart"/>
      <w:r>
        <w:t xml:space="preserve">Cameron </w:t>
      </w:r>
      <w:r w:rsidR="002050D0">
        <w:t>S</w:t>
      </w:r>
      <w:r>
        <w:t xml:space="preserve"> and J Heckman.</w:t>
      </w:r>
      <w:proofErr w:type="gramEnd"/>
      <w:r>
        <w:t xml:space="preserve"> 1998. Life Cycle Schooling and Dynamic Selection Bias: Models and Evidence for Five Cohorts of American Males. Journal of Political Economy 109:262-333.</w:t>
      </w:r>
    </w:p>
    <w:p w:rsidR="006726D1" w:rsidRDefault="006726D1" w:rsidP="003652FD">
      <w:pPr>
        <w:ind w:left="360" w:hanging="360"/>
      </w:pPr>
    </w:p>
    <w:p w:rsidR="00737959" w:rsidRDefault="00737959" w:rsidP="003652FD">
      <w:pPr>
        <w:ind w:left="360" w:hanging="360"/>
      </w:pPr>
      <w:proofErr w:type="spellStart"/>
      <w:proofErr w:type="gramStart"/>
      <w:r>
        <w:t>Carneiro</w:t>
      </w:r>
      <w:proofErr w:type="spellEnd"/>
      <w:r>
        <w:t xml:space="preserve"> P and J Heckman.</w:t>
      </w:r>
      <w:proofErr w:type="gramEnd"/>
      <w:r>
        <w:t xml:space="preserve"> 2002.  The </w:t>
      </w:r>
      <w:r w:rsidR="00E913A0">
        <w:t>E</w:t>
      </w:r>
      <w:r>
        <w:t xml:space="preserve">vidence on </w:t>
      </w:r>
      <w:r w:rsidR="00E913A0">
        <w:t>C</w:t>
      </w:r>
      <w:r>
        <w:t xml:space="preserve">redit </w:t>
      </w:r>
      <w:r w:rsidR="00E913A0">
        <w:t>C</w:t>
      </w:r>
      <w:r>
        <w:t xml:space="preserve">onstraints in </w:t>
      </w:r>
      <w:r w:rsidR="00E913A0">
        <w:t>P</w:t>
      </w:r>
      <w:r>
        <w:t xml:space="preserve">ost-secondary </w:t>
      </w:r>
      <w:r w:rsidR="00E913A0">
        <w:t>S</w:t>
      </w:r>
      <w:r>
        <w:t>chooling.  Economic Journal 112:705-734.</w:t>
      </w:r>
    </w:p>
    <w:p w:rsidR="006D6BD5" w:rsidRDefault="006D6BD5" w:rsidP="006D6BD5">
      <w:pPr>
        <w:ind w:left="360" w:hanging="360"/>
      </w:pPr>
    </w:p>
    <w:p w:rsidR="006D6BD5" w:rsidRDefault="006D6BD5" w:rsidP="006D6BD5">
      <w:pPr>
        <w:ind w:left="360" w:hanging="360"/>
      </w:pPr>
      <w:proofErr w:type="spellStart"/>
      <w:proofErr w:type="gramStart"/>
      <w:r>
        <w:t>Carnevale</w:t>
      </w:r>
      <w:proofErr w:type="spellEnd"/>
      <w:r>
        <w:t xml:space="preserve">, Anthony and Jeffrey </w:t>
      </w:r>
      <w:proofErr w:type="spellStart"/>
      <w:r>
        <w:t>Strolh</w:t>
      </w:r>
      <w:proofErr w:type="spellEnd"/>
      <w:r>
        <w:t>.</w:t>
      </w:r>
      <w:proofErr w:type="gramEnd"/>
      <w:r>
        <w:t xml:space="preserve"> 2013</w:t>
      </w:r>
      <w:proofErr w:type="gramStart"/>
      <w:r>
        <w:t>.  Separate</w:t>
      </w:r>
      <w:proofErr w:type="gramEnd"/>
      <w:r>
        <w:t xml:space="preserve"> and </w:t>
      </w:r>
      <w:proofErr w:type="spellStart"/>
      <w:r>
        <w:t>Uneqal</w:t>
      </w:r>
      <w:proofErr w:type="spellEnd"/>
      <w:r>
        <w:t xml:space="preserve">: How Higher </w:t>
      </w:r>
      <w:proofErr w:type="spellStart"/>
      <w:r>
        <w:t>Eduagtion</w:t>
      </w:r>
      <w:proofErr w:type="spellEnd"/>
      <w:r>
        <w:t xml:space="preserve"> Reinforces the Intergenerational Reproduction of White Racial Privilege,” Georgetown. </w:t>
      </w:r>
      <w:proofErr w:type="gramStart"/>
      <w:r>
        <w:t>July.</w:t>
      </w:r>
      <w:proofErr w:type="gramEnd"/>
      <w:r>
        <w:t xml:space="preserve"> </w:t>
      </w:r>
    </w:p>
    <w:p w:rsidR="003B4458" w:rsidRDefault="003B4458"/>
    <w:p w:rsidR="00737959" w:rsidRDefault="00737959" w:rsidP="003652FD">
      <w:pPr>
        <w:ind w:left="360" w:hanging="360"/>
      </w:pPr>
      <w:proofErr w:type="gramStart"/>
      <w:r>
        <w:t>Conley D.</w:t>
      </w:r>
      <w:proofErr w:type="gramEnd"/>
      <w:r>
        <w:t xml:space="preserve">  2001.  Capital for </w:t>
      </w:r>
      <w:r w:rsidR="00E913A0">
        <w:t>C</w:t>
      </w:r>
      <w:r>
        <w:t xml:space="preserve">ollege: </w:t>
      </w:r>
      <w:r w:rsidR="00E913A0">
        <w:t>P</w:t>
      </w:r>
      <w:r>
        <w:t xml:space="preserve">arental </w:t>
      </w:r>
      <w:r w:rsidR="00E913A0">
        <w:t>A</w:t>
      </w:r>
      <w:r>
        <w:t xml:space="preserve">ssets and </w:t>
      </w:r>
      <w:r w:rsidR="00E913A0">
        <w:t>P</w:t>
      </w:r>
      <w:r>
        <w:t xml:space="preserve">ost-secondary </w:t>
      </w:r>
      <w:r w:rsidR="00E913A0">
        <w:t>S</w:t>
      </w:r>
      <w:r>
        <w:t>chooling.  Sociology of Education 74(1):59-72.</w:t>
      </w:r>
    </w:p>
    <w:p w:rsidR="00737959" w:rsidRDefault="00737959" w:rsidP="003652FD">
      <w:pPr>
        <w:ind w:left="360" w:hanging="360"/>
      </w:pPr>
    </w:p>
    <w:p w:rsidR="00256AB6" w:rsidRPr="00256AB6" w:rsidRDefault="001A75F8" w:rsidP="003652FD">
      <w:pPr>
        <w:ind w:left="360" w:hanging="360"/>
        <w:rPr>
          <w:i/>
        </w:rPr>
      </w:pPr>
      <w:proofErr w:type="gramStart"/>
      <w:r>
        <w:t>Ellwood D and T Kane.</w:t>
      </w:r>
      <w:proofErr w:type="gramEnd"/>
      <w:r>
        <w:t xml:space="preserve">  2000.  Who </w:t>
      </w:r>
      <w:r w:rsidR="00E913A0">
        <w:t>I</w:t>
      </w:r>
      <w:r>
        <w:t xml:space="preserve">s </w:t>
      </w:r>
      <w:r w:rsidR="00E913A0">
        <w:t>G</w:t>
      </w:r>
      <w:r>
        <w:t xml:space="preserve">etting a </w:t>
      </w:r>
      <w:r w:rsidR="00E913A0">
        <w:t>C</w:t>
      </w:r>
      <w:r>
        <w:t xml:space="preserve">ollege </w:t>
      </w:r>
      <w:r w:rsidR="00E913A0">
        <w:t>E</w:t>
      </w:r>
      <w:r>
        <w:t xml:space="preserve">ducation? </w:t>
      </w:r>
      <w:proofErr w:type="gramStart"/>
      <w:r>
        <w:t xml:space="preserve">Family </w:t>
      </w:r>
      <w:r w:rsidR="00E913A0">
        <w:t>B</w:t>
      </w:r>
      <w:r>
        <w:t xml:space="preserve">ackgrounds and the </w:t>
      </w:r>
      <w:r w:rsidR="00E913A0">
        <w:t>G</w:t>
      </w:r>
      <w:r>
        <w:t xml:space="preserve">rowing </w:t>
      </w:r>
      <w:r w:rsidR="00E913A0">
        <w:t>G</w:t>
      </w:r>
      <w:r>
        <w:t xml:space="preserve">aps in </w:t>
      </w:r>
      <w:r w:rsidR="00E913A0">
        <w:t>E</w:t>
      </w:r>
      <w:r>
        <w:t>nrollment.</w:t>
      </w:r>
      <w:proofErr w:type="gramEnd"/>
      <w:r>
        <w:t xml:space="preserve">  Securing the </w:t>
      </w:r>
      <w:r w:rsidR="00E913A0">
        <w:t>F</w:t>
      </w:r>
      <w:r>
        <w:t xml:space="preserve">uture: Investing in </w:t>
      </w:r>
      <w:r w:rsidR="00E913A0">
        <w:t>C</w:t>
      </w:r>
      <w:r>
        <w:t xml:space="preserve">hildren from </w:t>
      </w:r>
      <w:r w:rsidR="00E913A0">
        <w:t>B</w:t>
      </w:r>
      <w:r>
        <w:t xml:space="preserve">irth to </w:t>
      </w:r>
      <w:r w:rsidR="00E913A0">
        <w:t>C</w:t>
      </w:r>
      <w:r>
        <w:t>ollege (</w:t>
      </w:r>
      <w:proofErr w:type="spellStart"/>
      <w:proofErr w:type="gramStart"/>
      <w:r>
        <w:t>eds</w:t>
      </w:r>
      <w:proofErr w:type="spellEnd"/>
      <w:proofErr w:type="gramEnd"/>
      <w:r>
        <w:t xml:space="preserve">, S </w:t>
      </w:r>
      <w:proofErr w:type="spellStart"/>
      <w:r>
        <w:t>Danziger</w:t>
      </w:r>
      <w:proofErr w:type="spellEnd"/>
      <w:r>
        <w:t xml:space="preserve"> and J </w:t>
      </w:r>
      <w:proofErr w:type="spellStart"/>
      <w:r>
        <w:t>Waldfogel</w:t>
      </w:r>
      <w:proofErr w:type="spellEnd"/>
      <w:r>
        <w:t>), 283-324.  New York: Russell Sage Foundation.</w:t>
      </w:r>
      <w:r w:rsidR="00256AB6">
        <w:t xml:space="preserve"> </w:t>
      </w:r>
    </w:p>
    <w:p w:rsidR="00256AB6" w:rsidRDefault="00256AB6" w:rsidP="003652FD">
      <w:pPr>
        <w:ind w:left="360" w:hanging="360"/>
      </w:pPr>
    </w:p>
    <w:p w:rsidR="00BD5F7E" w:rsidRDefault="00BD5F7E" w:rsidP="003652FD">
      <w:pPr>
        <w:ind w:left="360" w:hanging="360"/>
      </w:pPr>
      <w:proofErr w:type="spellStart"/>
      <w:proofErr w:type="gramStart"/>
      <w:r>
        <w:lastRenderedPageBreak/>
        <w:t>Hoxby</w:t>
      </w:r>
      <w:proofErr w:type="spellEnd"/>
      <w:r>
        <w:t xml:space="preserve"> C and S Turner.</w:t>
      </w:r>
      <w:proofErr w:type="gramEnd"/>
      <w:r>
        <w:t xml:space="preserve">  2013.  Expanding College </w:t>
      </w:r>
      <w:r w:rsidR="001E7FBE">
        <w:t>Opportunities</w:t>
      </w:r>
      <w:r>
        <w:t xml:space="preserve"> for High-Achieving, Low Income Students.  </w:t>
      </w:r>
      <w:proofErr w:type="gramStart"/>
      <w:r>
        <w:t>Working Paper.</w:t>
      </w:r>
      <w:proofErr w:type="gramEnd"/>
      <w:r>
        <w:t xml:space="preserve">  </w:t>
      </w:r>
    </w:p>
    <w:p w:rsidR="001E7FBE" w:rsidRDefault="001E7FBE" w:rsidP="003652FD">
      <w:pPr>
        <w:ind w:left="360" w:hanging="360"/>
      </w:pPr>
    </w:p>
    <w:p w:rsidR="005B5F79" w:rsidRDefault="005B5F79" w:rsidP="003652FD">
      <w:pPr>
        <w:ind w:left="360" w:hanging="360"/>
      </w:pPr>
      <w:proofErr w:type="gramStart"/>
      <w:r>
        <w:t>Johnson</w:t>
      </w:r>
      <w:r w:rsidR="000D502B">
        <w:t xml:space="preserve"> M</w:t>
      </w:r>
      <w:r>
        <w:t>. 201</w:t>
      </w:r>
      <w:r w:rsidR="000D502B">
        <w:t>1</w:t>
      </w:r>
      <w:r>
        <w:t>.</w:t>
      </w:r>
      <w:proofErr w:type="gramEnd"/>
      <w:r w:rsidR="000D502B">
        <w:t xml:space="preserve"> Borrowing Constraints, College Enrollment, and Delayed Entry.  </w:t>
      </w:r>
      <w:proofErr w:type="gramStart"/>
      <w:r w:rsidR="000D502B">
        <w:t>University of Chicago Human Capital and Economic Opportunity Working Group 2011-006.</w:t>
      </w:r>
      <w:proofErr w:type="gramEnd"/>
    </w:p>
    <w:p w:rsidR="005B5F79" w:rsidRDefault="005B5F79" w:rsidP="003652FD">
      <w:pPr>
        <w:ind w:left="360" w:hanging="360"/>
      </w:pPr>
    </w:p>
    <w:p w:rsidR="00076D80" w:rsidRDefault="00076D80" w:rsidP="003652FD">
      <w:pPr>
        <w:ind w:left="360" w:hanging="360"/>
      </w:pPr>
      <w:proofErr w:type="spellStart"/>
      <w:proofErr w:type="gramStart"/>
      <w:r>
        <w:t>Juster</w:t>
      </w:r>
      <w:proofErr w:type="spellEnd"/>
      <w:r>
        <w:t>, FT, JP Smith, and F Stafford.</w:t>
      </w:r>
      <w:proofErr w:type="gramEnd"/>
      <w:r>
        <w:t xml:space="preserve">  1999.  The measurement and structure of household wealth.  </w:t>
      </w:r>
      <w:proofErr w:type="spellStart"/>
      <w:r>
        <w:t>Labour</w:t>
      </w:r>
      <w:proofErr w:type="spellEnd"/>
      <w:r>
        <w:t xml:space="preserve"> Economics 6:253-275.</w:t>
      </w:r>
    </w:p>
    <w:p w:rsidR="006D6599" w:rsidRDefault="006D6599" w:rsidP="003652FD">
      <w:pPr>
        <w:ind w:left="360" w:hanging="360"/>
      </w:pPr>
    </w:p>
    <w:p w:rsidR="006D6599" w:rsidRDefault="006D6599" w:rsidP="003652FD">
      <w:pPr>
        <w:ind w:left="360" w:hanging="360"/>
      </w:pPr>
      <w:r>
        <w:t>Kane, TJ.  1994.  College Entry by Blacks since 1970: The Role of College Costs, Family Background, and the Returns to Education.  Journal of Political Economy 102(5):878-911.</w:t>
      </w:r>
    </w:p>
    <w:p w:rsidR="00076D80" w:rsidRDefault="00076D80" w:rsidP="003652FD">
      <w:pPr>
        <w:ind w:left="360" w:hanging="360"/>
      </w:pPr>
    </w:p>
    <w:p w:rsidR="00F26D34" w:rsidRDefault="00F26D34" w:rsidP="003652FD">
      <w:pPr>
        <w:ind w:left="360" w:hanging="360"/>
      </w:pPr>
      <w:proofErr w:type="gramStart"/>
      <w:r>
        <w:t xml:space="preserve">Keane </w:t>
      </w:r>
      <w:r w:rsidR="00043727">
        <w:t xml:space="preserve">M </w:t>
      </w:r>
      <w:r>
        <w:t xml:space="preserve">and </w:t>
      </w:r>
      <w:r w:rsidR="00043727">
        <w:t xml:space="preserve">K </w:t>
      </w:r>
      <w:proofErr w:type="spellStart"/>
      <w:r>
        <w:t>Wolpin</w:t>
      </w:r>
      <w:proofErr w:type="spellEnd"/>
      <w:r>
        <w:t>.</w:t>
      </w:r>
      <w:proofErr w:type="gramEnd"/>
      <w:r>
        <w:t xml:space="preserve"> 2001.</w:t>
      </w:r>
      <w:r w:rsidR="00043727">
        <w:t xml:space="preserve"> The Effect of Parental Transfers and Borrowing Constraints on Educational Attainment.  International Economic Review 42:1051-1103.</w:t>
      </w:r>
    </w:p>
    <w:p w:rsidR="00F26D34" w:rsidRDefault="00F26D34" w:rsidP="003652FD">
      <w:pPr>
        <w:ind w:left="360" w:hanging="360"/>
      </w:pPr>
    </w:p>
    <w:p w:rsidR="00A96613" w:rsidRDefault="00A96613" w:rsidP="00A96613">
      <w:pPr>
        <w:ind w:left="360" w:hanging="360"/>
      </w:pPr>
      <w:proofErr w:type="spellStart"/>
      <w:proofErr w:type="gramStart"/>
      <w:r>
        <w:t>Kinsler</w:t>
      </w:r>
      <w:proofErr w:type="spellEnd"/>
      <w:r>
        <w:t xml:space="preserve"> J and R </w:t>
      </w:r>
      <w:proofErr w:type="spellStart"/>
      <w:r>
        <w:t>Pavan</w:t>
      </w:r>
      <w:proofErr w:type="spellEnd"/>
      <w:r w:rsidR="00BA0868">
        <w:t>.</w:t>
      </w:r>
      <w:proofErr w:type="gramEnd"/>
      <w:r>
        <w:t xml:space="preserve"> 2010. Family Income and Higher Education Choices: The Importance of Accounting for College Quality.  Journal of Human Capital 5(4): 453-477.</w:t>
      </w:r>
    </w:p>
    <w:p w:rsidR="00A96613" w:rsidRDefault="00A96613" w:rsidP="003652FD">
      <w:pPr>
        <w:ind w:left="360" w:hanging="360"/>
      </w:pPr>
    </w:p>
    <w:p w:rsidR="00D20AAE" w:rsidRDefault="00D20AAE" w:rsidP="003652FD">
      <w:pPr>
        <w:ind w:left="360" w:hanging="360"/>
      </w:pPr>
      <w:proofErr w:type="gramStart"/>
      <w:r>
        <w:t>Lochner</w:t>
      </w:r>
      <w:r w:rsidR="00EB19F1">
        <w:t xml:space="preserve"> L</w:t>
      </w:r>
      <w:r>
        <w:t xml:space="preserve"> and</w:t>
      </w:r>
      <w:r w:rsidR="00EB19F1">
        <w:t xml:space="preserve"> A</w:t>
      </w:r>
      <w:r>
        <w:t xml:space="preserve"> </w:t>
      </w:r>
      <w:proofErr w:type="spellStart"/>
      <w:r>
        <w:t>Monge-Naranjo</w:t>
      </w:r>
      <w:proofErr w:type="spellEnd"/>
      <w:r w:rsidR="00EB19F1">
        <w:t>.</w:t>
      </w:r>
      <w:proofErr w:type="gramEnd"/>
      <w:r w:rsidR="00EB19F1">
        <w:t xml:space="preserve"> 2012. Credit Constraints in Education. Annual Review of Economics 4:225-256.</w:t>
      </w:r>
    </w:p>
    <w:p w:rsidR="00147C28" w:rsidRDefault="00F660C2" w:rsidP="003652FD">
      <w:pPr>
        <w:ind w:left="360" w:hanging="360"/>
      </w:pPr>
      <w:r>
        <w:t xml:space="preserve"> </w:t>
      </w:r>
    </w:p>
    <w:p w:rsidR="00206AF6" w:rsidRDefault="00206AF6" w:rsidP="003652FD">
      <w:pPr>
        <w:ind w:left="360" w:hanging="360"/>
      </w:pPr>
      <w:proofErr w:type="spellStart"/>
      <w:proofErr w:type="gramStart"/>
      <w:r>
        <w:t>Lovenheim</w:t>
      </w:r>
      <w:proofErr w:type="spellEnd"/>
      <w:r w:rsidR="0082043C">
        <w:t xml:space="preserve"> M</w:t>
      </w:r>
      <w:r w:rsidR="00D45FF9">
        <w:t>F</w:t>
      </w:r>
      <w:r>
        <w:t xml:space="preserve"> 2011.</w:t>
      </w:r>
      <w:proofErr w:type="gramEnd"/>
      <w:r w:rsidR="009C2A20">
        <w:t xml:space="preserve"> </w:t>
      </w:r>
      <w:proofErr w:type="gramStart"/>
      <w:r w:rsidR="009C2A20">
        <w:t>The Effect of Liquid Housing Wealth on College Enrollment.</w:t>
      </w:r>
      <w:proofErr w:type="gramEnd"/>
      <w:r w:rsidR="009C2A20">
        <w:t xml:space="preserve">  Journal of Labor Economics 29(4):741-771.</w:t>
      </w:r>
    </w:p>
    <w:p w:rsidR="00206AF6" w:rsidRDefault="00206AF6" w:rsidP="003652FD">
      <w:pPr>
        <w:ind w:left="360" w:hanging="360"/>
      </w:pPr>
    </w:p>
    <w:p w:rsidR="00D45FF9" w:rsidRDefault="00147C28" w:rsidP="003652FD">
      <w:pPr>
        <w:ind w:left="360" w:hanging="360"/>
      </w:pPr>
      <w:proofErr w:type="spellStart"/>
      <w:proofErr w:type="gramStart"/>
      <w:r>
        <w:t>Lovenheim</w:t>
      </w:r>
      <w:proofErr w:type="spellEnd"/>
      <w:r>
        <w:t xml:space="preserve"> </w:t>
      </w:r>
      <w:r w:rsidR="0082043C">
        <w:t xml:space="preserve">MF </w:t>
      </w:r>
      <w:r>
        <w:t xml:space="preserve">and </w:t>
      </w:r>
      <w:r w:rsidR="0082043C">
        <w:t xml:space="preserve">CL </w:t>
      </w:r>
      <w:r>
        <w:t>Reynolds.</w:t>
      </w:r>
      <w:proofErr w:type="gramEnd"/>
      <w:r>
        <w:t xml:space="preserve"> 2011.</w:t>
      </w:r>
      <w:r w:rsidR="0082043C">
        <w:t xml:space="preserve"> Changes in Postsecondary Choices by Ability and Income: Evidence from the National Longitudinal Surveys of Youth.  Journal of Human Capital 5:70-109.</w:t>
      </w:r>
    </w:p>
    <w:p w:rsidR="00D45FF9" w:rsidRDefault="00D45FF9" w:rsidP="003652FD">
      <w:pPr>
        <w:ind w:left="360" w:hanging="360"/>
      </w:pPr>
    </w:p>
    <w:p w:rsidR="00F660C2" w:rsidRDefault="00D45FF9" w:rsidP="003652FD">
      <w:pPr>
        <w:ind w:left="360" w:hanging="360"/>
      </w:pPr>
      <w:proofErr w:type="spellStart"/>
      <w:proofErr w:type="gramStart"/>
      <w:r>
        <w:t>Lovenheim</w:t>
      </w:r>
      <w:proofErr w:type="spellEnd"/>
      <w:r>
        <w:t xml:space="preserve"> MF and CL Reynolds.</w:t>
      </w:r>
      <w:proofErr w:type="gramEnd"/>
      <w:r>
        <w:t xml:space="preserve">  2013.  The Effect of Housing Wealth on College Choice: Evidence from the Housing Boom.  Journal of Human </w:t>
      </w:r>
      <w:proofErr w:type="gramStart"/>
      <w:r>
        <w:t>Resources  48</w:t>
      </w:r>
      <w:proofErr w:type="gramEnd"/>
      <w:r>
        <w:t>(1):1-35.</w:t>
      </w:r>
      <w:r w:rsidR="00F660C2">
        <w:t xml:space="preserve"> </w:t>
      </w:r>
    </w:p>
    <w:p w:rsidR="00147C28" w:rsidRDefault="00147C28" w:rsidP="003652FD">
      <w:pPr>
        <w:ind w:left="360" w:hanging="360"/>
      </w:pPr>
    </w:p>
    <w:p w:rsidR="008239FC" w:rsidRDefault="008239FC" w:rsidP="00BC7DFE">
      <w:pPr>
        <w:ind w:left="360" w:hanging="360"/>
      </w:pPr>
      <w:r>
        <w:t>Smith JP.  1995.  Racial and Ethnic Differences in Wealth in the Health and Retirement Study.  Journal of Human Resources 30(</w:t>
      </w:r>
      <w:r w:rsidR="00E061C9">
        <w:t>S</w:t>
      </w:r>
      <w:r>
        <w:t>):S158-S183.</w:t>
      </w:r>
    </w:p>
    <w:p w:rsidR="008239FC" w:rsidRDefault="008239FC" w:rsidP="00BC7DFE">
      <w:pPr>
        <w:ind w:left="360" w:hanging="360"/>
      </w:pPr>
    </w:p>
    <w:p w:rsidR="00BC7DFE" w:rsidRDefault="00BC7DFE" w:rsidP="00BC7DFE">
      <w:pPr>
        <w:ind w:left="360" w:hanging="360"/>
      </w:pPr>
      <w:proofErr w:type="gramStart"/>
      <w:r w:rsidRPr="006111CB">
        <w:t xml:space="preserve">Smith TM, BA Young, Y </w:t>
      </w:r>
      <w:proofErr w:type="spellStart"/>
      <w:r w:rsidRPr="006111CB">
        <w:t>Bae</w:t>
      </w:r>
      <w:proofErr w:type="spellEnd"/>
      <w:r w:rsidRPr="006111CB">
        <w:t xml:space="preserve">, S Choy, and N </w:t>
      </w:r>
      <w:proofErr w:type="spellStart"/>
      <w:r w:rsidRPr="006111CB">
        <w:t>A</w:t>
      </w:r>
      <w:r w:rsidR="00BA05B7">
        <w:t>l</w:t>
      </w:r>
      <w:r w:rsidRPr="006111CB">
        <w:t>salam</w:t>
      </w:r>
      <w:proofErr w:type="spellEnd"/>
      <w:r w:rsidRPr="006111CB">
        <w:t>.</w:t>
      </w:r>
      <w:proofErr w:type="gramEnd"/>
      <w:r w:rsidRPr="006111CB">
        <w:t xml:space="preserve"> 1997. The Condition of Education 1997.  National Center for Education Statistics 97-388.</w:t>
      </w:r>
      <w:r>
        <w:t xml:space="preserve">  United States Government Printing Office: Washington, DC.</w:t>
      </w:r>
    </w:p>
    <w:p w:rsidR="00BC7DFE" w:rsidRDefault="00BC7DFE" w:rsidP="003652FD">
      <w:pPr>
        <w:ind w:left="360" w:hanging="360"/>
      </w:pPr>
    </w:p>
    <w:p w:rsidR="00953661" w:rsidRDefault="00953661" w:rsidP="003652FD">
      <w:pPr>
        <w:ind w:left="360" w:hanging="360"/>
      </w:pPr>
      <w:proofErr w:type="spellStart"/>
      <w:proofErr w:type="gramStart"/>
      <w:r>
        <w:t>Stinebrickner</w:t>
      </w:r>
      <w:proofErr w:type="spellEnd"/>
      <w:r>
        <w:t xml:space="preserve"> T and R </w:t>
      </w:r>
      <w:proofErr w:type="spellStart"/>
      <w:r>
        <w:t>Stinebrickner</w:t>
      </w:r>
      <w:proofErr w:type="spellEnd"/>
      <w:r>
        <w:t>.</w:t>
      </w:r>
      <w:proofErr w:type="gramEnd"/>
      <w:r>
        <w:t xml:space="preserve"> 2008. The effect of Credit Constraints on the College Drop-out Decision: A Direct Approach Using a New Panel Study.  American Economic Review 98:2163-2184.</w:t>
      </w:r>
    </w:p>
    <w:p w:rsidR="00953661" w:rsidRDefault="00953661" w:rsidP="003652FD">
      <w:pPr>
        <w:ind w:left="360" w:hanging="360"/>
      </w:pPr>
    </w:p>
    <w:p w:rsidR="006A5C37" w:rsidRDefault="006A5C37" w:rsidP="003652FD">
      <w:pPr>
        <w:ind w:left="360" w:hanging="360"/>
      </w:pPr>
      <w:r>
        <w:br w:type="page"/>
      </w:r>
    </w:p>
    <w:p w:rsidR="00253017" w:rsidRDefault="00253017" w:rsidP="00253017">
      <w:pPr>
        <w:jc w:val="center"/>
      </w:pPr>
      <w:r>
        <w:lastRenderedPageBreak/>
        <w:t xml:space="preserve">Table 1: Household </w:t>
      </w:r>
      <w:r w:rsidR="00EA0AD8">
        <w:t>C</w:t>
      </w:r>
      <w:r>
        <w:t xml:space="preserve">haracteristics by </w:t>
      </w:r>
      <w:r w:rsidR="00EA0AD8">
        <w:t>C</w:t>
      </w:r>
      <w:r>
        <w:t xml:space="preserve">ollege </w:t>
      </w:r>
      <w:r w:rsidR="00EA0AD8">
        <w:t>A</w:t>
      </w:r>
      <w:r>
        <w:t xml:space="preserve">ttendance of 19 and 20 </w:t>
      </w:r>
      <w:r w:rsidR="00EA0AD8">
        <w:t>Y</w:t>
      </w:r>
      <w:r>
        <w:t xml:space="preserve">ear </w:t>
      </w:r>
      <w:r w:rsidR="00EA0AD8">
        <w:t>O</w:t>
      </w:r>
      <w:r>
        <w:t>lds, PSID</w:t>
      </w:r>
    </w:p>
    <w:p w:rsidR="00253017" w:rsidRDefault="00253017" w:rsidP="0025301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690"/>
        <w:gridCol w:w="31"/>
        <w:gridCol w:w="1306"/>
        <w:gridCol w:w="44"/>
        <w:gridCol w:w="1115"/>
        <w:gridCol w:w="56"/>
        <w:gridCol w:w="659"/>
        <w:gridCol w:w="61"/>
        <w:gridCol w:w="270"/>
        <w:gridCol w:w="29"/>
        <w:gridCol w:w="1321"/>
        <w:gridCol w:w="15"/>
        <w:gridCol w:w="1249"/>
        <w:gridCol w:w="730"/>
      </w:tblGrid>
      <w:tr w:rsidR="00B75D03" w:rsidTr="003F6A6A">
        <w:tc>
          <w:tcPr>
            <w:tcW w:w="1421" w:type="pct"/>
            <w:gridSpan w:val="2"/>
            <w:tcBorders>
              <w:top w:val="single" w:sz="4" w:space="0" w:color="auto"/>
            </w:tcBorders>
          </w:tcPr>
          <w:p w:rsidR="00B75D03" w:rsidRDefault="00B75D03" w:rsidP="00752B01"/>
        </w:tc>
        <w:tc>
          <w:tcPr>
            <w:tcW w:w="705" w:type="pct"/>
            <w:gridSpan w:val="2"/>
            <w:tcBorders>
              <w:top w:val="single" w:sz="4" w:space="0" w:color="auto"/>
            </w:tcBorders>
          </w:tcPr>
          <w:p w:rsidR="00B75D03" w:rsidRDefault="00B75D03" w:rsidP="00752B01">
            <w:pPr>
              <w:jc w:val="center"/>
            </w:pPr>
          </w:p>
        </w:tc>
        <w:tc>
          <w:tcPr>
            <w:tcW w:w="611" w:type="pct"/>
            <w:gridSpan w:val="2"/>
            <w:tcBorders>
              <w:top w:val="single" w:sz="4" w:space="0" w:color="auto"/>
            </w:tcBorders>
          </w:tcPr>
          <w:p w:rsidR="00B75D03" w:rsidRDefault="00B75D03" w:rsidP="00752B01">
            <w:pPr>
              <w:jc w:val="center"/>
            </w:pPr>
          </w:p>
        </w:tc>
        <w:tc>
          <w:tcPr>
            <w:tcW w:w="376" w:type="pct"/>
            <w:gridSpan w:val="2"/>
            <w:tcBorders>
              <w:top w:val="single" w:sz="4" w:space="0" w:color="auto"/>
            </w:tcBorders>
          </w:tcPr>
          <w:p w:rsidR="00B75D03" w:rsidRDefault="00B75D03" w:rsidP="00752B01">
            <w:pPr>
              <w:jc w:val="center"/>
            </w:pPr>
          </w:p>
        </w:tc>
        <w:tc>
          <w:tcPr>
            <w:tcW w:w="141" w:type="pct"/>
            <w:tcBorders>
              <w:top w:val="single" w:sz="4" w:space="0" w:color="auto"/>
            </w:tcBorders>
          </w:tcPr>
          <w:p w:rsidR="00B75D03" w:rsidRDefault="00B75D03" w:rsidP="00752B01">
            <w:pPr>
              <w:jc w:val="center"/>
            </w:pPr>
          </w:p>
        </w:tc>
        <w:tc>
          <w:tcPr>
            <w:tcW w:w="705" w:type="pct"/>
            <w:gridSpan w:val="2"/>
            <w:tcBorders>
              <w:top w:val="single" w:sz="4" w:space="0" w:color="auto"/>
            </w:tcBorders>
          </w:tcPr>
          <w:p w:rsidR="00B75D03" w:rsidRDefault="00B75D03" w:rsidP="00752B01">
            <w:pPr>
              <w:jc w:val="center"/>
            </w:pPr>
          </w:p>
        </w:tc>
        <w:tc>
          <w:tcPr>
            <w:tcW w:w="660" w:type="pct"/>
            <w:gridSpan w:val="2"/>
            <w:tcBorders>
              <w:top w:val="single" w:sz="4" w:space="0" w:color="auto"/>
            </w:tcBorders>
          </w:tcPr>
          <w:p w:rsidR="00B75D03" w:rsidRDefault="00B75D03" w:rsidP="00752B01">
            <w:pPr>
              <w:jc w:val="center"/>
            </w:pPr>
          </w:p>
        </w:tc>
        <w:tc>
          <w:tcPr>
            <w:tcW w:w="381" w:type="pct"/>
            <w:tcBorders>
              <w:top w:val="single" w:sz="4" w:space="0" w:color="auto"/>
            </w:tcBorders>
          </w:tcPr>
          <w:p w:rsidR="00B75D03" w:rsidRDefault="00B75D03" w:rsidP="00752B01">
            <w:pPr>
              <w:jc w:val="center"/>
            </w:pPr>
          </w:p>
        </w:tc>
      </w:tr>
      <w:tr w:rsidR="003F6A6A" w:rsidTr="003F6A6A">
        <w:tc>
          <w:tcPr>
            <w:tcW w:w="1421" w:type="pct"/>
            <w:gridSpan w:val="2"/>
          </w:tcPr>
          <w:p w:rsidR="003F6A6A" w:rsidRDefault="003F6A6A" w:rsidP="00752B01"/>
        </w:tc>
        <w:tc>
          <w:tcPr>
            <w:tcW w:w="1692" w:type="pct"/>
            <w:gridSpan w:val="6"/>
            <w:tcBorders>
              <w:bottom w:val="single" w:sz="4" w:space="0" w:color="auto"/>
            </w:tcBorders>
          </w:tcPr>
          <w:p w:rsidR="003F6A6A" w:rsidRDefault="003F6A6A" w:rsidP="00856F53">
            <w:pPr>
              <w:jc w:val="center"/>
            </w:pPr>
            <w:r>
              <w:t>Attending, Full Sample</w:t>
            </w:r>
          </w:p>
        </w:tc>
        <w:tc>
          <w:tcPr>
            <w:tcW w:w="141" w:type="pct"/>
          </w:tcPr>
          <w:p w:rsidR="003F6A6A" w:rsidRDefault="003F6A6A" w:rsidP="00752B01">
            <w:pPr>
              <w:jc w:val="center"/>
            </w:pPr>
          </w:p>
        </w:tc>
        <w:tc>
          <w:tcPr>
            <w:tcW w:w="1746" w:type="pct"/>
            <w:gridSpan w:val="5"/>
            <w:tcBorders>
              <w:bottom w:val="single" w:sz="4" w:space="0" w:color="auto"/>
            </w:tcBorders>
          </w:tcPr>
          <w:p w:rsidR="003F6A6A" w:rsidRDefault="003F6A6A" w:rsidP="00752B01">
            <w:pPr>
              <w:jc w:val="center"/>
            </w:pPr>
            <w:r>
              <w:t>Attending, TA Sample</w:t>
            </w:r>
          </w:p>
        </w:tc>
      </w:tr>
      <w:tr w:rsidR="00B75D03" w:rsidTr="003F6A6A">
        <w:tc>
          <w:tcPr>
            <w:tcW w:w="1421" w:type="pct"/>
            <w:gridSpan w:val="2"/>
            <w:tcBorders>
              <w:bottom w:val="single" w:sz="4" w:space="0" w:color="auto"/>
            </w:tcBorders>
          </w:tcPr>
          <w:p w:rsidR="00B75D03" w:rsidRDefault="00B75D03" w:rsidP="00752B01"/>
        </w:tc>
        <w:tc>
          <w:tcPr>
            <w:tcW w:w="705" w:type="pct"/>
            <w:gridSpan w:val="2"/>
            <w:tcBorders>
              <w:top w:val="single" w:sz="4" w:space="0" w:color="auto"/>
              <w:bottom w:val="single" w:sz="4" w:space="0" w:color="auto"/>
            </w:tcBorders>
          </w:tcPr>
          <w:p w:rsidR="00B75D03" w:rsidRDefault="00B75D03" w:rsidP="00752B01">
            <w:pPr>
              <w:jc w:val="center"/>
            </w:pPr>
            <w:r>
              <w:t>Yes</w:t>
            </w:r>
          </w:p>
        </w:tc>
        <w:tc>
          <w:tcPr>
            <w:tcW w:w="611" w:type="pct"/>
            <w:gridSpan w:val="2"/>
            <w:tcBorders>
              <w:top w:val="single" w:sz="4" w:space="0" w:color="auto"/>
              <w:bottom w:val="single" w:sz="4" w:space="0" w:color="auto"/>
            </w:tcBorders>
          </w:tcPr>
          <w:p w:rsidR="00B75D03" w:rsidRDefault="00B75D03" w:rsidP="00752B01">
            <w:pPr>
              <w:jc w:val="center"/>
            </w:pPr>
            <w:r>
              <w:t>No</w:t>
            </w:r>
          </w:p>
        </w:tc>
        <w:tc>
          <w:tcPr>
            <w:tcW w:w="376" w:type="pct"/>
            <w:gridSpan w:val="2"/>
            <w:tcBorders>
              <w:top w:val="single" w:sz="4" w:space="0" w:color="auto"/>
              <w:bottom w:val="single" w:sz="4" w:space="0" w:color="auto"/>
            </w:tcBorders>
          </w:tcPr>
          <w:p w:rsidR="00B75D03" w:rsidRDefault="00C77E7B" w:rsidP="00752B01">
            <w:pPr>
              <w:jc w:val="center"/>
            </w:pPr>
            <w:r>
              <w:t>Diff.</w:t>
            </w:r>
          </w:p>
        </w:tc>
        <w:tc>
          <w:tcPr>
            <w:tcW w:w="141" w:type="pct"/>
            <w:tcBorders>
              <w:bottom w:val="single" w:sz="4" w:space="0" w:color="auto"/>
            </w:tcBorders>
          </w:tcPr>
          <w:p w:rsidR="00B75D03" w:rsidRDefault="00B75D03" w:rsidP="00752B01">
            <w:pPr>
              <w:jc w:val="center"/>
            </w:pPr>
          </w:p>
        </w:tc>
        <w:tc>
          <w:tcPr>
            <w:tcW w:w="705" w:type="pct"/>
            <w:gridSpan w:val="2"/>
            <w:tcBorders>
              <w:bottom w:val="single" w:sz="4" w:space="0" w:color="auto"/>
            </w:tcBorders>
          </w:tcPr>
          <w:p w:rsidR="00B75D03" w:rsidRDefault="00B75D03" w:rsidP="00752B01">
            <w:pPr>
              <w:jc w:val="center"/>
            </w:pPr>
            <w:r>
              <w:t>Yes</w:t>
            </w:r>
          </w:p>
        </w:tc>
        <w:tc>
          <w:tcPr>
            <w:tcW w:w="660" w:type="pct"/>
            <w:gridSpan w:val="2"/>
            <w:tcBorders>
              <w:bottom w:val="single" w:sz="4" w:space="0" w:color="auto"/>
            </w:tcBorders>
          </w:tcPr>
          <w:p w:rsidR="00B75D03" w:rsidRDefault="00B75D03" w:rsidP="00752B01">
            <w:pPr>
              <w:jc w:val="center"/>
            </w:pPr>
            <w:r>
              <w:t>No</w:t>
            </w:r>
          </w:p>
        </w:tc>
        <w:tc>
          <w:tcPr>
            <w:tcW w:w="381" w:type="pct"/>
            <w:tcBorders>
              <w:bottom w:val="single" w:sz="4" w:space="0" w:color="auto"/>
            </w:tcBorders>
          </w:tcPr>
          <w:p w:rsidR="00B75D03" w:rsidRDefault="00C77E7B" w:rsidP="00752B01">
            <w:pPr>
              <w:jc w:val="center"/>
            </w:pPr>
            <w:r>
              <w:t>Diff.</w:t>
            </w:r>
          </w:p>
        </w:tc>
      </w:tr>
      <w:tr w:rsidR="00253017" w:rsidTr="00B52BCE">
        <w:tc>
          <w:tcPr>
            <w:tcW w:w="1421" w:type="pct"/>
            <w:gridSpan w:val="2"/>
            <w:tcBorders>
              <w:top w:val="single" w:sz="4" w:space="0" w:color="auto"/>
            </w:tcBorders>
          </w:tcPr>
          <w:p w:rsidR="00253017" w:rsidRDefault="00253017" w:rsidP="00752B01">
            <w:r>
              <w:t>N</w:t>
            </w:r>
          </w:p>
        </w:tc>
        <w:tc>
          <w:tcPr>
            <w:tcW w:w="705" w:type="pct"/>
            <w:gridSpan w:val="2"/>
            <w:tcBorders>
              <w:top w:val="single" w:sz="4" w:space="0" w:color="auto"/>
            </w:tcBorders>
          </w:tcPr>
          <w:p w:rsidR="00253017" w:rsidRDefault="00253017" w:rsidP="00752B01">
            <w:pPr>
              <w:jc w:val="center"/>
            </w:pPr>
            <w:r>
              <w:t>1,772</w:t>
            </w:r>
          </w:p>
        </w:tc>
        <w:tc>
          <w:tcPr>
            <w:tcW w:w="611" w:type="pct"/>
            <w:gridSpan w:val="2"/>
            <w:tcBorders>
              <w:top w:val="single" w:sz="4" w:space="0" w:color="auto"/>
            </w:tcBorders>
          </w:tcPr>
          <w:p w:rsidR="00253017" w:rsidRDefault="00253017" w:rsidP="00752B01">
            <w:pPr>
              <w:jc w:val="center"/>
            </w:pPr>
            <w:r>
              <w:t>1,905</w:t>
            </w:r>
          </w:p>
        </w:tc>
        <w:tc>
          <w:tcPr>
            <w:tcW w:w="376" w:type="pct"/>
            <w:gridSpan w:val="2"/>
            <w:tcBorders>
              <w:top w:val="single" w:sz="4" w:space="0" w:color="auto"/>
            </w:tcBorders>
          </w:tcPr>
          <w:p w:rsidR="00253017" w:rsidRDefault="00253017" w:rsidP="00752B01">
            <w:pPr>
              <w:jc w:val="center"/>
            </w:pPr>
          </w:p>
        </w:tc>
        <w:tc>
          <w:tcPr>
            <w:tcW w:w="141" w:type="pct"/>
            <w:tcBorders>
              <w:top w:val="single" w:sz="4" w:space="0" w:color="auto"/>
            </w:tcBorders>
          </w:tcPr>
          <w:p w:rsidR="00253017" w:rsidRDefault="00253017" w:rsidP="00752B01">
            <w:pPr>
              <w:jc w:val="center"/>
            </w:pPr>
          </w:p>
        </w:tc>
        <w:tc>
          <w:tcPr>
            <w:tcW w:w="705" w:type="pct"/>
            <w:gridSpan w:val="2"/>
            <w:tcBorders>
              <w:top w:val="single" w:sz="4" w:space="0" w:color="auto"/>
            </w:tcBorders>
          </w:tcPr>
          <w:p w:rsidR="00253017" w:rsidRDefault="00253017" w:rsidP="00752B01">
            <w:pPr>
              <w:jc w:val="center"/>
            </w:pPr>
            <w:r>
              <w:t>439</w:t>
            </w:r>
          </w:p>
        </w:tc>
        <w:tc>
          <w:tcPr>
            <w:tcW w:w="660" w:type="pct"/>
            <w:gridSpan w:val="2"/>
            <w:tcBorders>
              <w:top w:val="single" w:sz="4" w:space="0" w:color="auto"/>
            </w:tcBorders>
          </w:tcPr>
          <w:p w:rsidR="00253017" w:rsidRDefault="00253017" w:rsidP="00752B01">
            <w:pPr>
              <w:jc w:val="center"/>
            </w:pPr>
            <w:r>
              <w:t>207</w:t>
            </w:r>
          </w:p>
        </w:tc>
        <w:tc>
          <w:tcPr>
            <w:tcW w:w="381" w:type="pct"/>
            <w:tcBorders>
              <w:top w:val="single" w:sz="4" w:space="0" w:color="auto"/>
            </w:tcBorders>
          </w:tcPr>
          <w:p w:rsidR="00253017" w:rsidRDefault="00253017" w:rsidP="00752B01">
            <w:pPr>
              <w:jc w:val="center"/>
            </w:pPr>
          </w:p>
        </w:tc>
      </w:tr>
      <w:tr w:rsidR="00B52BCE" w:rsidTr="00B52BCE">
        <w:tc>
          <w:tcPr>
            <w:tcW w:w="1421" w:type="pct"/>
            <w:gridSpan w:val="2"/>
          </w:tcPr>
          <w:p w:rsidR="00B52BCE" w:rsidRDefault="00B52BCE" w:rsidP="00285264">
            <w:r>
              <w:t>Weighted fraction</w:t>
            </w:r>
          </w:p>
        </w:tc>
        <w:tc>
          <w:tcPr>
            <w:tcW w:w="705" w:type="pct"/>
            <w:gridSpan w:val="2"/>
          </w:tcPr>
          <w:p w:rsidR="00B52BCE" w:rsidRDefault="004D2D91" w:rsidP="004D2D91">
            <w:pPr>
              <w:jc w:val="center"/>
            </w:pPr>
            <w:r>
              <w:t>.</w:t>
            </w:r>
            <w:r w:rsidR="00B52BCE">
              <w:t>51</w:t>
            </w:r>
          </w:p>
        </w:tc>
        <w:tc>
          <w:tcPr>
            <w:tcW w:w="611" w:type="pct"/>
            <w:gridSpan w:val="2"/>
          </w:tcPr>
          <w:p w:rsidR="00B52BCE" w:rsidRDefault="00B52BCE" w:rsidP="00285264">
            <w:pPr>
              <w:jc w:val="center"/>
            </w:pPr>
            <w:r>
              <w:t>.49</w:t>
            </w:r>
          </w:p>
        </w:tc>
        <w:tc>
          <w:tcPr>
            <w:tcW w:w="376" w:type="pct"/>
            <w:gridSpan w:val="2"/>
          </w:tcPr>
          <w:p w:rsidR="00B52BCE" w:rsidRDefault="00B52BCE" w:rsidP="00285264">
            <w:pPr>
              <w:jc w:val="center"/>
            </w:pPr>
          </w:p>
        </w:tc>
        <w:tc>
          <w:tcPr>
            <w:tcW w:w="141" w:type="pct"/>
          </w:tcPr>
          <w:p w:rsidR="00B52BCE" w:rsidRDefault="00B52BCE" w:rsidP="00285264">
            <w:pPr>
              <w:jc w:val="center"/>
            </w:pPr>
          </w:p>
        </w:tc>
        <w:tc>
          <w:tcPr>
            <w:tcW w:w="705" w:type="pct"/>
            <w:gridSpan w:val="2"/>
          </w:tcPr>
          <w:p w:rsidR="00B52BCE" w:rsidRDefault="00B52BCE" w:rsidP="00285264">
            <w:pPr>
              <w:jc w:val="center"/>
            </w:pPr>
            <w:r>
              <w:t>.70</w:t>
            </w:r>
          </w:p>
        </w:tc>
        <w:tc>
          <w:tcPr>
            <w:tcW w:w="660" w:type="pct"/>
            <w:gridSpan w:val="2"/>
          </w:tcPr>
          <w:p w:rsidR="00B52BCE" w:rsidRDefault="00B52BCE" w:rsidP="00285264">
            <w:pPr>
              <w:jc w:val="center"/>
            </w:pPr>
            <w:r>
              <w:t>.30</w:t>
            </w:r>
          </w:p>
        </w:tc>
        <w:tc>
          <w:tcPr>
            <w:tcW w:w="381" w:type="pct"/>
          </w:tcPr>
          <w:p w:rsidR="00B52BCE" w:rsidRDefault="00B52BCE" w:rsidP="00285264">
            <w:pPr>
              <w:jc w:val="center"/>
            </w:pPr>
          </w:p>
        </w:tc>
      </w:tr>
      <w:tr w:rsidR="00253017" w:rsidTr="00B52BCE">
        <w:tc>
          <w:tcPr>
            <w:tcW w:w="1405" w:type="pct"/>
          </w:tcPr>
          <w:p w:rsidR="00253017" w:rsidRDefault="00253017" w:rsidP="00752B01"/>
        </w:tc>
        <w:tc>
          <w:tcPr>
            <w:tcW w:w="698" w:type="pct"/>
            <w:gridSpan w:val="2"/>
          </w:tcPr>
          <w:p w:rsidR="00253017" w:rsidRDefault="00253017" w:rsidP="00752B01">
            <w:pPr>
              <w:jc w:val="center"/>
            </w:pPr>
          </w:p>
        </w:tc>
        <w:tc>
          <w:tcPr>
            <w:tcW w:w="605" w:type="pct"/>
            <w:gridSpan w:val="2"/>
          </w:tcPr>
          <w:p w:rsidR="00253017" w:rsidRDefault="00253017" w:rsidP="00752B01">
            <w:pPr>
              <w:jc w:val="center"/>
            </w:pPr>
          </w:p>
        </w:tc>
        <w:tc>
          <w:tcPr>
            <w:tcW w:w="373" w:type="pct"/>
            <w:gridSpan w:val="2"/>
          </w:tcPr>
          <w:p w:rsidR="00253017" w:rsidRDefault="00253017" w:rsidP="00752B01">
            <w:pPr>
              <w:jc w:val="center"/>
            </w:pPr>
          </w:p>
        </w:tc>
        <w:tc>
          <w:tcPr>
            <w:tcW w:w="188" w:type="pct"/>
            <w:gridSpan w:val="3"/>
          </w:tcPr>
          <w:p w:rsidR="00253017" w:rsidRDefault="00253017" w:rsidP="00752B01">
            <w:pPr>
              <w:jc w:val="center"/>
            </w:pPr>
          </w:p>
        </w:tc>
        <w:tc>
          <w:tcPr>
            <w:tcW w:w="698" w:type="pct"/>
            <w:gridSpan w:val="2"/>
          </w:tcPr>
          <w:p w:rsidR="00253017" w:rsidRDefault="00253017" w:rsidP="00752B01">
            <w:pPr>
              <w:jc w:val="center"/>
            </w:pPr>
          </w:p>
        </w:tc>
        <w:tc>
          <w:tcPr>
            <w:tcW w:w="652" w:type="pct"/>
          </w:tcPr>
          <w:p w:rsidR="00253017" w:rsidRDefault="00253017" w:rsidP="00752B01">
            <w:pPr>
              <w:jc w:val="center"/>
            </w:pPr>
          </w:p>
        </w:tc>
        <w:tc>
          <w:tcPr>
            <w:tcW w:w="381" w:type="pct"/>
          </w:tcPr>
          <w:p w:rsidR="00253017" w:rsidRDefault="00253017" w:rsidP="00752B01">
            <w:pPr>
              <w:jc w:val="center"/>
            </w:pPr>
          </w:p>
        </w:tc>
      </w:tr>
      <w:tr w:rsidR="00253017" w:rsidTr="00B52BCE">
        <w:tc>
          <w:tcPr>
            <w:tcW w:w="1421" w:type="pct"/>
            <w:gridSpan w:val="2"/>
          </w:tcPr>
          <w:p w:rsidR="00253017" w:rsidRPr="001D73B9" w:rsidRDefault="00253017" w:rsidP="00752B01">
            <w:pPr>
              <w:rPr>
                <w:u w:val="single"/>
              </w:rPr>
            </w:pPr>
            <w:r>
              <w:rPr>
                <w:u w:val="single"/>
              </w:rPr>
              <w:t>Student characteristics</w:t>
            </w:r>
          </w:p>
        </w:tc>
        <w:tc>
          <w:tcPr>
            <w:tcW w:w="705" w:type="pct"/>
            <w:gridSpan w:val="2"/>
          </w:tcPr>
          <w:p w:rsidR="00253017" w:rsidRDefault="00253017" w:rsidP="00752B01">
            <w:pPr>
              <w:jc w:val="center"/>
            </w:pPr>
          </w:p>
        </w:tc>
        <w:tc>
          <w:tcPr>
            <w:tcW w:w="611" w:type="pct"/>
            <w:gridSpan w:val="2"/>
          </w:tcPr>
          <w:p w:rsidR="00253017" w:rsidRDefault="00253017" w:rsidP="00752B01">
            <w:pPr>
              <w:jc w:val="center"/>
            </w:pPr>
          </w:p>
        </w:tc>
        <w:tc>
          <w:tcPr>
            <w:tcW w:w="376" w:type="pct"/>
            <w:gridSpan w:val="2"/>
          </w:tcPr>
          <w:p w:rsidR="00253017" w:rsidRDefault="00253017" w:rsidP="00752B01">
            <w:pPr>
              <w:jc w:val="center"/>
            </w:pPr>
          </w:p>
        </w:tc>
        <w:tc>
          <w:tcPr>
            <w:tcW w:w="141" w:type="pct"/>
          </w:tcPr>
          <w:p w:rsidR="00253017" w:rsidRDefault="00253017" w:rsidP="00752B01">
            <w:pPr>
              <w:jc w:val="center"/>
            </w:pPr>
          </w:p>
        </w:tc>
        <w:tc>
          <w:tcPr>
            <w:tcW w:w="705" w:type="pct"/>
            <w:gridSpan w:val="2"/>
          </w:tcPr>
          <w:p w:rsidR="00253017" w:rsidRDefault="00253017" w:rsidP="00752B01">
            <w:pPr>
              <w:jc w:val="center"/>
            </w:pPr>
          </w:p>
        </w:tc>
        <w:tc>
          <w:tcPr>
            <w:tcW w:w="660" w:type="pct"/>
            <w:gridSpan w:val="2"/>
          </w:tcPr>
          <w:p w:rsidR="00253017" w:rsidRDefault="00253017" w:rsidP="00752B01">
            <w:pPr>
              <w:jc w:val="center"/>
            </w:pPr>
          </w:p>
        </w:tc>
        <w:tc>
          <w:tcPr>
            <w:tcW w:w="381" w:type="pct"/>
          </w:tcPr>
          <w:p w:rsidR="00253017" w:rsidRDefault="00253017" w:rsidP="00752B01">
            <w:pPr>
              <w:jc w:val="center"/>
            </w:pPr>
          </w:p>
        </w:tc>
      </w:tr>
      <w:tr w:rsidR="00253017" w:rsidTr="00B52BCE">
        <w:tc>
          <w:tcPr>
            <w:tcW w:w="1421" w:type="pct"/>
            <w:gridSpan w:val="2"/>
          </w:tcPr>
          <w:p w:rsidR="00253017" w:rsidRDefault="00253017" w:rsidP="00752B01">
            <w:r>
              <w:t>Male</w:t>
            </w:r>
          </w:p>
        </w:tc>
        <w:tc>
          <w:tcPr>
            <w:tcW w:w="705" w:type="pct"/>
            <w:gridSpan w:val="2"/>
          </w:tcPr>
          <w:p w:rsidR="00253017" w:rsidRDefault="00253017" w:rsidP="00752B01">
            <w:pPr>
              <w:jc w:val="center"/>
            </w:pPr>
            <w:r>
              <w:t>.46</w:t>
            </w:r>
          </w:p>
        </w:tc>
        <w:tc>
          <w:tcPr>
            <w:tcW w:w="611" w:type="pct"/>
            <w:gridSpan w:val="2"/>
          </w:tcPr>
          <w:p w:rsidR="00253017" w:rsidRDefault="00253017" w:rsidP="00752B01">
            <w:pPr>
              <w:jc w:val="center"/>
            </w:pPr>
            <w:r>
              <w:t>.55</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.46</w:t>
            </w:r>
          </w:p>
        </w:tc>
        <w:tc>
          <w:tcPr>
            <w:tcW w:w="660" w:type="pct"/>
            <w:gridSpan w:val="2"/>
          </w:tcPr>
          <w:p w:rsidR="00253017" w:rsidRDefault="00253017" w:rsidP="00752B01">
            <w:pPr>
              <w:jc w:val="center"/>
            </w:pPr>
            <w:r>
              <w:t>.56</w:t>
            </w:r>
          </w:p>
        </w:tc>
        <w:tc>
          <w:tcPr>
            <w:tcW w:w="381" w:type="pct"/>
          </w:tcPr>
          <w:p w:rsidR="00253017" w:rsidRDefault="00253017" w:rsidP="00752B01">
            <w:pPr>
              <w:jc w:val="center"/>
            </w:pPr>
          </w:p>
        </w:tc>
      </w:tr>
      <w:tr w:rsidR="00253017" w:rsidTr="00B52BCE">
        <w:tc>
          <w:tcPr>
            <w:tcW w:w="1421" w:type="pct"/>
            <w:gridSpan w:val="2"/>
          </w:tcPr>
          <w:p w:rsidR="00253017" w:rsidRDefault="00253017" w:rsidP="00752B01">
            <w:r>
              <w:t>High school GPA</w:t>
            </w:r>
          </w:p>
        </w:tc>
        <w:tc>
          <w:tcPr>
            <w:tcW w:w="705" w:type="pct"/>
            <w:gridSpan w:val="2"/>
          </w:tcPr>
          <w:p w:rsidR="00253017" w:rsidRDefault="00253017" w:rsidP="00752B01">
            <w:pPr>
              <w:jc w:val="center"/>
            </w:pPr>
          </w:p>
        </w:tc>
        <w:tc>
          <w:tcPr>
            <w:tcW w:w="611" w:type="pct"/>
            <w:gridSpan w:val="2"/>
          </w:tcPr>
          <w:p w:rsidR="00253017" w:rsidRDefault="00253017" w:rsidP="00752B01">
            <w:pPr>
              <w:jc w:val="center"/>
            </w:pPr>
          </w:p>
        </w:tc>
        <w:tc>
          <w:tcPr>
            <w:tcW w:w="376" w:type="pct"/>
            <w:gridSpan w:val="2"/>
          </w:tcPr>
          <w:p w:rsidR="00253017" w:rsidRDefault="00253017" w:rsidP="00752B01">
            <w:pPr>
              <w:jc w:val="center"/>
            </w:pPr>
          </w:p>
        </w:tc>
        <w:tc>
          <w:tcPr>
            <w:tcW w:w="141" w:type="pct"/>
          </w:tcPr>
          <w:p w:rsidR="00253017" w:rsidRDefault="00253017" w:rsidP="00752B01">
            <w:pPr>
              <w:jc w:val="center"/>
            </w:pPr>
          </w:p>
        </w:tc>
        <w:tc>
          <w:tcPr>
            <w:tcW w:w="705" w:type="pct"/>
            <w:gridSpan w:val="2"/>
          </w:tcPr>
          <w:p w:rsidR="00253017" w:rsidRDefault="00253017" w:rsidP="00752B01">
            <w:pPr>
              <w:jc w:val="center"/>
            </w:pPr>
            <w:r>
              <w:t>3.26</w:t>
            </w:r>
          </w:p>
        </w:tc>
        <w:tc>
          <w:tcPr>
            <w:tcW w:w="660" w:type="pct"/>
            <w:gridSpan w:val="2"/>
          </w:tcPr>
          <w:p w:rsidR="00253017" w:rsidRDefault="00253017" w:rsidP="00752B01">
            <w:pPr>
              <w:jc w:val="center"/>
            </w:pPr>
            <w:r>
              <w:t>3.10</w:t>
            </w:r>
          </w:p>
        </w:tc>
        <w:tc>
          <w:tcPr>
            <w:tcW w:w="381" w:type="pct"/>
          </w:tcPr>
          <w:p w:rsidR="00253017" w:rsidRDefault="00FA4A94" w:rsidP="00752B01">
            <w:pPr>
              <w:jc w:val="center"/>
            </w:pPr>
            <w:r>
              <w:t>**</w:t>
            </w:r>
          </w:p>
        </w:tc>
      </w:tr>
      <w:tr w:rsidR="00253017" w:rsidTr="00B52BCE">
        <w:tc>
          <w:tcPr>
            <w:tcW w:w="1421" w:type="pct"/>
            <w:gridSpan w:val="2"/>
          </w:tcPr>
          <w:p w:rsidR="00253017" w:rsidRDefault="00253017" w:rsidP="00752B01"/>
        </w:tc>
        <w:tc>
          <w:tcPr>
            <w:tcW w:w="705" w:type="pct"/>
            <w:gridSpan w:val="2"/>
          </w:tcPr>
          <w:p w:rsidR="00253017" w:rsidRDefault="00253017" w:rsidP="00752B01">
            <w:pPr>
              <w:jc w:val="center"/>
            </w:pPr>
          </w:p>
        </w:tc>
        <w:tc>
          <w:tcPr>
            <w:tcW w:w="611" w:type="pct"/>
            <w:gridSpan w:val="2"/>
          </w:tcPr>
          <w:p w:rsidR="00253017" w:rsidRDefault="00253017" w:rsidP="00752B01">
            <w:pPr>
              <w:jc w:val="center"/>
            </w:pPr>
          </w:p>
        </w:tc>
        <w:tc>
          <w:tcPr>
            <w:tcW w:w="376" w:type="pct"/>
            <w:gridSpan w:val="2"/>
          </w:tcPr>
          <w:p w:rsidR="00253017" w:rsidRDefault="00253017" w:rsidP="00752B01">
            <w:pPr>
              <w:jc w:val="center"/>
            </w:pPr>
          </w:p>
        </w:tc>
        <w:tc>
          <w:tcPr>
            <w:tcW w:w="141" w:type="pct"/>
          </w:tcPr>
          <w:p w:rsidR="00253017" w:rsidRDefault="00253017" w:rsidP="00752B01">
            <w:pPr>
              <w:jc w:val="center"/>
            </w:pPr>
          </w:p>
        </w:tc>
        <w:tc>
          <w:tcPr>
            <w:tcW w:w="705" w:type="pct"/>
            <w:gridSpan w:val="2"/>
          </w:tcPr>
          <w:p w:rsidR="00253017" w:rsidRDefault="00253017" w:rsidP="00752B01">
            <w:pPr>
              <w:jc w:val="center"/>
            </w:pPr>
          </w:p>
        </w:tc>
        <w:tc>
          <w:tcPr>
            <w:tcW w:w="660" w:type="pct"/>
            <w:gridSpan w:val="2"/>
          </w:tcPr>
          <w:p w:rsidR="00253017" w:rsidRDefault="00253017" w:rsidP="00752B01">
            <w:pPr>
              <w:jc w:val="center"/>
            </w:pPr>
          </w:p>
        </w:tc>
        <w:tc>
          <w:tcPr>
            <w:tcW w:w="381" w:type="pct"/>
          </w:tcPr>
          <w:p w:rsidR="00253017" w:rsidRDefault="00253017" w:rsidP="00752B01">
            <w:pPr>
              <w:jc w:val="center"/>
            </w:pPr>
          </w:p>
        </w:tc>
      </w:tr>
      <w:tr w:rsidR="00253017" w:rsidTr="00B52BCE">
        <w:tc>
          <w:tcPr>
            <w:tcW w:w="1421" w:type="pct"/>
            <w:gridSpan w:val="2"/>
          </w:tcPr>
          <w:p w:rsidR="00253017" w:rsidRPr="009065A8" w:rsidRDefault="00253017" w:rsidP="00752B01">
            <w:pPr>
              <w:rPr>
                <w:u w:val="single"/>
              </w:rPr>
            </w:pPr>
            <w:r>
              <w:rPr>
                <w:u w:val="single"/>
              </w:rPr>
              <w:t>Parent characteristics</w:t>
            </w:r>
          </w:p>
        </w:tc>
        <w:tc>
          <w:tcPr>
            <w:tcW w:w="705" w:type="pct"/>
            <w:gridSpan w:val="2"/>
          </w:tcPr>
          <w:p w:rsidR="00253017" w:rsidRDefault="00253017" w:rsidP="00752B01">
            <w:pPr>
              <w:jc w:val="center"/>
            </w:pPr>
          </w:p>
        </w:tc>
        <w:tc>
          <w:tcPr>
            <w:tcW w:w="611" w:type="pct"/>
            <w:gridSpan w:val="2"/>
          </w:tcPr>
          <w:p w:rsidR="00253017" w:rsidRDefault="00253017" w:rsidP="00752B01">
            <w:pPr>
              <w:jc w:val="center"/>
            </w:pPr>
          </w:p>
        </w:tc>
        <w:tc>
          <w:tcPr>
            <w:tcW w:w="376" w:type="pct"/>
            <w:gridSpan w:val="2"/>
          </w:tcPr>
          <w:p w:rsidR="00253017" w:rsidRDefault="00253017" w:rsidP="00752B01">
            <w:pPr>
              <w:jc w:val="center"/>
            </w:pPr>
          </w:p>
        </w:tc>
        <w:tc>
          <w:tcPr>
            <w:tcW w:w="141" w:type="pct"/>
          </w:tcPr>
          <w:p w:rsidR="00253017" w:rsidRDefault="00253017" w:rsidP="00752B01">
            <w:pPr>
              <w:jc w:val="center"/>
            </w:pPr>
          </w:p>
        </w:tc>
        <w:tc>
          <w:tcPr>
            <w:tcW w:w="705" w:type="pct"/>
            <w:gridSpan w:val="2"/>
          </w:tcPr>
          <w:p w:rsidR="00253017" w:rsidRDefault="00253017" w:rsidP="00752B01">
            <w:pPr>
              <w:jc w:val="center"/>
            </w:pPr>
          </w:p>
        </w:tc>
        <w:tc>
          <w:tcPr>
            <w:tcW w:w="660" w:type="pct"/>
            <w:gridSpan w:val="2"/>
          </w:tcPr>
          <w:p w:rsidR="00253017" w:rsidRDefault="00253017" w:rsidP="00752B01">
            <w:pPr>
              <w:jc w:val="center"/>
            </w:pPr>
          </w:p>
        </w:tc>
        <w:tc>
          <w:tcPr>
            <w:tcW w:w="381" w:type="pct"/>
          </w:tcPr>
          <w:p w:rsidR="00253017" w:rsidRDefault="00253017" w:rsidP="00752B01">
            <w:pPr>
              <w:jc w:val="center"/>
            </w:pPr>
          </w:p>
        </w:tc>
      </w:tr>
      <w:tr w:rsidR="00253017" w:rsidTr="00B52BCE">
        <w:tc>
          <w:tcPr>
            <w:tcW w:w="1421" w:type="pct"/>
            <w:gridSpan w:val="2"/>
          </w:tcPr>
          <w:p w:rsidR="00253017" w:rsidRDefault="00253017" w:rsidP="00752B01">
            <w:r>
              <w:t>Married HH</w:t>
            </w:r>
          </w:p>
        </w:tc>
        <w:tc>
          <w:tcPr>
            <w:tcW w:w="705" w:type="pct"/>
            <w:gridSpan w:val="2"/>
          </w:tcPr>
          <w:p w:rsidR="00253017" w:rsidRDefault="00253017" w:rsidP="00752B01">
            <w:pPr>
              <w:jc w:val="center"/>
            </w:pPr>
            <w:r>
              <w:t>.78</w:t>
            </w:r>
          </w:p>
        </w:tc>
        <w:tc>
          <w:tcPr>
            <w:tcW w:w="611" w:type="pct"/>
            <w:gridSpan w:val="2"/>
          </w:tcPr>
          <w:p w:rsidR="00253017" w:rsidRDefault="00253017" w:rsidP="00752B01">
            <w:pPr>
              <w:jc w:val="center"/>
            </w:pPr>
            <w:r>
              <w:t>.62</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.75</w:t>
            </w:r>
          </w:p>
        </w:tc>
        <w:tc>
          <w:tcPr>
            <w:tcW w:w="660" w:type="pct"/>
            <w:gridSpan w:val="2"/>
          </w:tcPr>
          <w:p w:rsidR="00253017" w:rsidRDefault="00253017" w:rsidP="00752B01">
            <w:pPr>
              <w:jc w:val="center"/>
            </w:pPr>
            <w:r>
              <w:t>.56</w:t>
            </w:r>
          </w:p>
        </w:tc>
        <w:tc>
          <w:tcPr>
            <w:tcW w:w="381" w:type="pct"/>
          </w:tcPr>
          <w:p w:rsidR="00253017" w:rsidRDefault="00735A31" w:rsidP="00752B01">
            <w:pPr>
              <w:jc w:val="center"/>
            </w:pPr>
            <w:r>
              <w:t>***</w:t>
            </w:r>
          </w:p>
        </w:tc>
      </w:tr>
      <w:tr w:rsidR="00253017" w:rsidTr="00B52BCE">
        <w:tc>
          <w:tcPr>
            <w:tcW w:w="1421" w:type="pct"/>
            <w:gridSpan w:val="2"/>
          </w:tcPr>
          <w:p w:rsidR="00253017" w:rsidRDefault="00253017" w:rsidP="00752B01">
            <w:r>
              <w:t>Single female HH</w:t>
            </w:r>
          </w:p>
        </w:tc>
        <w:tc>
          <w:tcPr>
            <w:tcW w:w="705" w:type="pct"/>
            <w:gridSpan w:val="2"/>
          </w:tcPr>
          <w:p w:rsidR="00253017" w:rsidRDefault="00253017" w:rsidP="00752B01">
            <w:pPr>
              <w:jc w:val="center"/>
            </w:pPr>
            <w:r>
              <w:t>.19</w:t>
            </w:r>
          </w:p>
        </w:tc>
        <w:tc>
          <w:tcPr>
            <w:tcW w:w="611" w:type="pct"/>
            <w:gridSpan w:val="2"/>
          </w:tcPr>
          <w:p w:rsidR="00253017" w:rsidRDefault="00253017" w:rsidP="00752B01">
            <w:pPr>
              <w:jc w:val="center"/>
            </w:pPr>
            <w:r>
              <w:t>.33</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.21</w:t>
            </w:r>
          </w:p>
        </w:tc>
        <w:tc>
          <w:tcPr>
            <w:tcW w:w="660" w:type="pct"/>
            <w:gridSpan w:val="2"/>
          </w:tcPr>
          <w:p w:rsidR="00253017" w:rsidRDefault="00253017" w:rsidP="00752B01">
            <w:pPr>
              <w:jc w:val="center"/>
            </w:pPr>
            <w:r>
              <w:t>.40</w:t>
            </w:r>
          </w:p>
        </w:tc>
        <w:tc>
          <w:tcPr>
            <w:tcW w:w="381" w:type="pct"/>
          </w:tcPr>
          <w:p w:rsidR="00253017" w:rsidRDefault="00735A31" w:rsidP="00752B01">
            <w:pPr>
              <w:jc w:val="center"/>
            </w:pPr>
            <w:r>
              <w:t>***</w:t>
            </w:r>
          </w:p>
        </w:tc>
      </w:tr>
      <w:tr w:rsidR="00253017" w:rsidTr="00B52BCE">
        <w:tc>
          <w:tcPr>
            <w:tcW w:w="1421" w:type="pct"/>
            <w:gridSpan w:val="2"/>
          </w:tcPr>
          <w:p w:rsidR="00253017" w:rsidRDefault="00253017" w:rsidP="00752B01">
            <w:r>
              <w:t>Head age</w:t>
            </w:r>
          </w:p>
        </w:tc>
        <w:tc>
          <w:tcPr>
            <w:tcW w:w="705" w:type="pct"/>
            <w:gridSpan w:val="2"/>
          </w:tcPr>
          <w:p w:rsidR="00253017" w:rsidRDefault="00253017" w:rsidP="00752B01">
            <w:pPr>
              <w:jc w:val="center"/>
            </w:pPr>
            <w:r>
              <w:t>49.2</w:t>
            </w:r>
          </w:p>
        </w:tc>
        <w:tc>
          <w:tcPr>
            <w:tcW w:w="611" w:type="pct"/>
            <w:gridSpan w:val="2"/>
          </w:tcPr>
          <w:p w:rsidR="00253017" w:rsidRDefault="00253017" w:rsidP="00752B01">
            <w:pPr>
              <w:jc w:val="center"/>
            </w:pPr>
            <w:r>
              <w:t>47.2</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49.9</w:t>
            </w:r>
          </w:p>
        </w:tc>
        <w:tc>
          <w:tcPr>
            <w:tcW w:w="660" w:type="pct"/>
            <w:gridSpan w:val="2"/>
          </w:tcPr>
          <w:p w:rsidR="00253017" w:rsidRDefault="00253017" w:rsidP="00752B01">
            <w:pPr>
              <w:jc w:val="center"/>
            </w:pPr>
            <w:r>
              <w:t>47.2</w:t>
            </w:r>
          </w:p>
        </w:tc>
        <w:tc>
          <w:tcPr>
            <w:tcW w:w="381" w:type="pct"/>
          </w:tcPr>
          <w:p w:rsidR="00253017" w:rsidRDefault="00735A31" w:rsidP="00752B01">
            <w:pPr>
              <w:jc w:val="center"/>
            </w:pPr>
            <w:r>
              <w:t>***</w:t>
            </w:r>
          </w:p>
        </w:tc>
      </w:tr>
      <w:tr w:rsidR="00253017" w:rsidTr="00B52BCE">
        <w:tc>
          <w:tcPr>
            <w:tcW w:w="1421" w:type="pct"/>
            <w:gridSpan w:val="2"/>
          </w:tcPr>
          <w:p w:rsidR="00253017" w:rsidRDefault="00253017" w:rsidP="00752B01">
            <w:r>
              <w:t>Head education</w:t>
            </w:r>
          </w:p>
        </w:tc>
        <w:tc>
          <w:tcPr>
            <w:tcW w:w="705" w:type="pct"/>
            <w:gridSpan w:val="2"/>
          </w:tcPr>
          <w:p w:rsidR="00253017" w:rsidRDefault="00253017" w:rsidP="00752B01">
            <w:pPr>
              <w:jc w:val="center"/>
            </w:pPr>
            <w:r>
              <w:t>13.3</w:t>
            </w:r>
          </w:p>
        </w:tc>
        <w:tc>
          <w:tcPr>
            <w:tcW w:w="611" w:type="pct"/>
            <w:gridSpan w:val="2"/>
          </w:tcPr>
          <w:p w:rsidR="00253017" w:rsidRDefault="00253017" w:rsidP="00752B01">
            <w:pPr>
              <w:jc w:val="center"/>
            </w:pPr>
            <w:r>
              <w:t>11.8</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13.2</w:t>
            </w:r>
          </w:p>
        </w:tc>
        <w:tc>
          <w:tcPr>
            <w:tcW w:w="660" w:type="pct"/>
            <w:gridSpan w:val="2"/>
          </w:tcPr>
          <w:p w:rsidR="00253017" w:rsidRDefault="00253017" w:rsidP="00752B01">
            <w:pPr>
              <w:jc w:val="center"/>
            </w:pPr>
            <w:r>
              <w:t>12.1</w:t>
            </w:r>
          </w:p>
        </w:tc>
        <w:tc>
          <w:tcPr>
            <w:tcW w:w="381" w:type="pct"/>
          </w:tcPr>
          <w:p w:rsidR="00253017" w:rsidRDefault="00735A31" w:rsidP="00752B01">
            <w:pPr>
              <w:jc w:val="center"/>
            </w:pPr>
            <w:r>
              <w:t>***</w:t>
            </w:r>
          </w:p>
        </w:tc>
      </w:tr>
      <w:tr w:rsidR="00253017" w:rsidTr="00B52BCE">
        <w:tc>
          <w:tcPr>
            <w:tcW w:w="1421" w:type="pct"/>
            <w:gridSpan w:val="2"/>
          </w:tcPr>
          <w:p w:rsidR="00253017" w:rsidRDefault="00253017" w:rsidP="00752B01">
            <w:r>
              <w:t>Head black</w:t>
            </w:r>
          </w:p>
        </w:tc>
        <w:tc>
          <w:tcPr>
            <w:tcW w:w="705" w:type="pct"/>
            <w:gridSpan w:val="2"/>
          </w:tcPr>
          <w:p w:rsidR="00253017" w:rsidRDefault="00253017" w:rsidP="00752B01">
            <w:pPr>
              <w:jc w:val="center"/>
            </w:pPr>
            <w:r>
              <w:t>.14</w:t>
            </w:r>
          </w:p>
        </w:tc>
        <w:tc>
          <w:tcPr>
            <w:tcW w:w="611" w:type="pct"/>
            <w:gridSpan w:val="2"/>
          </w:tcPr>
          <w:p w:rsidR="00253017" w:rsidRDefault="00253017" w:rsidP="00752B01">
            <w:pPr>
              <w:jc w:val="center"/>
            </w:pPr>
            <w:r>
              <w:t>.22</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.12</w:t>
            </w:r>
          </w:p>
        </w:tc>
        <w:tc>
          <w:tcPr>
            <w:tcW w:w="660" w:type="pct"/>
            <w:gridSpan w:val="2"/>
          </w:tcPr>
          <w:p w:rsidR="00253017" w:rsidRDefault="00253017" w:rsidP="00752B01">
            <w:pPr>
              <w:jc w:val="center"/>
            </w:pPr>
            <w:r>
              <w:t>.28</w:t>
            </w:r>
          </w:p>
        </w:tc>
        <w:tc>
          <w:tcPr>
            <w:tcW w:w="381" w:type="pct"/>
          </w:tcPr>
          <w:p w:rsidR="00253017" w:rsidRDefault="00735A31" w:rsidP="00752B01">
            <w:pPr>
              <w:jc w:val="center"/>
            </w:pPr>
            <w:r>
              <w:t>***</w:t>
            </w:r>
          </w:p>
        </w:tc>
      </w:tr>
      <w:tr w:rsidR="00253017" w:rsidTr="00B52BCE">
        <w:tc>
          <w:tcPr>
            <w:tcW w:w="1421" w:type="pct"/>
            <w:gridSpan w:val="2"/>
          </w:tcPr>
          <w:p w:rsidR="00253017" w:rsidRDefault="00253017" w:rsidP="00752B01">
            <w:r>
              <w:t>Income</w:t>
            </w:r>
          </w:p>
        </w:tc>
        <w:tc>
          <w:tcPr>
            <w:tcW w:w="705" w:type="pct"/>
            <w:gridSpan w:val="2"/>
          </w:tcPr>
          <w:p w:rsidR="00253017" w:rsidRDefault="00253017" w:rsidP="00752B01">
            <w:pPr>
              <w:jc w:val="center"/>
            </w:pPr>
          </w:p>
        </w:tc>
        <w:tc>
          <w:tcPr>
            <w:tcW w:w="611" w:type="pct"/>
            <w:gridSpan w:val="2"/>
          </w:tcPr>
          <w:p w:rsidR="00253017" w:rsidRDefault="00253017" w:rsidP="00752B01">
            <w:pPr>
              <w:jc w:val="center"/>
            </w:pPr>
          </w:p>
        </w:tc>
        <w:tc>
          <w:tcPr>
            <w:tcW w:w="376" w:type="pct"/>
            <w:gridSpan w:val="2"/>
          </w:tcPr>
          <w:p w:rsidR="00253017" w:rsidRDefault="00253017" w:rsidP="00752B01">
            <w:pPr>
              <w:jc w:val="center"/>
            </w:pPr>
          </w:p>
        </w:tc>
        <w:tc>
          <w:tcPr>
            <w:tcW w:w="141" w:type="pct"/>
          </w:tcPr>
          <w:p w:rsidR="00253017" w:rsidRDefault="00253017" w:rsidP="00752B01">
            <w:pPr>
              <w:jc w:val="center"/>
            </w:pPr>
          </w:p>
        </w:tc>
        <w:tc>
          <w:tcPr>
            <w:tcW w:w="705" w:type="pct"/>
            <w:gridSpan w:val="2"/>
          </w:tcPr>
          <w:p w:rsidR="00253017" w:rsidRDefault="00253017" w:rsidP="00752B01">
            <w:pPr>
              <w:jc w:val="center"/>
            </w:pPr>
          </w:p>
        </w:tc>
        <w:tc>
          <w:tcPr>
            <w:tcW w:w="660" w:type="pct"/>
            <w:gridSpan w:val="2"/>
          </w:tcPr>
          <w:p w:rsidR="00253017" w:rsidRDefault="00253017" w:rsidP="00752B01">
            <w:pPr>
              <w:jc w:val="center"/>
            </w:pPr>
          </w:p>
        </w:tc>
        <w:tc>
          <w:tcPr>
            <w:tcW w:w="381" w:type="pct"/>
          </w:tcPr>
          <w:p w:rsidR="00253017" w:rsidRDefault="00253017" w:rsidP="00752B01">
            <w:pPr>
              <w:jc w:val="center"/>
            </w:pPr>
          </w:p>
        </w:tc>
      </w:tr>
      <w:tr w:rsidR="00253017" w:rsidTr="00B52BCE">
        <w:tc>
          <w:tcPr>
            <w:tcW w:w="1421" w:type="pct"/>
            <w:gridSpan w:val="2"/>
          </w:tcPr>
          <w:p w:rsidR="00253017" w:rsidRDefault="00253017" w:rsidP="00752B01">
            <w:r>
              <w:t xml:space="preserve">    25</w:t>
            </w:r>
            <w:r w:rsidRPr="002827B5">
              <w:rPr>
                <w:vertAlign w:val="superscript"/>
              </w:rPr>
              <w:t>th</w:t>
            </w:r>
            <w:r>
              <w:t xml:space="preserve"> </w:t>
            </w:r>
          </w:p>
        </w:tc>
        <w:tc>
          <w:tcPr>
            <w:tcW w:w="705" w:type="pct"/>
            <w:gridSpan w:val="2"/>
          </w:tcPr>
          <w:p w:rsidR="00253017" w:rsidRDefault="00253017" w:rsidP="00752B01">
            <w:pPr>
              <w:jc w:val="center"/>
            </w:pPr>
            <w:r>
              <w:t>54,479</w:t>
            </w:r>
          </w:p>
        </w:tc>
        <w:tc>
          <w:tcPr>
            <w:tcW w:w="611" w:type="pct"/>
            <w:gridSpan w:val="2"/>
          </w:tcPr>
          <w:p w:rsidR="00253017" w:rsidRDefault="00253017" w:rsidP="00752B01">
            <w:pPr>
              <w:jc w:val="center"/>
            </w:pPr>
            <w:r>
              <w:t>30,973</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61,471</w:t>
            </w:r>
          </w:p>
        </w:tc>
        <w:tc>
          <w:tcPr>
            <w:tcW w:w="660" w:type="pct"/>
            <w:gridSpan w:val="2"/>
          </w:tcPr>
          <w:p w:rsidR="00253017" w:rsidRDefault="00253017" w:rsidP="00752B01">
            <w:pPr>
              <w:jc w:val="center"/>
            </w:pPr>
            <w:r>
              <w:t>34,950</w:t>
            </w:r>
          </w:p>
        </w:tc>
        <w:tc>
          <w:tcPr>
            <w:tcW w:w="381" w:type="pct"/>
          </w:tcPr>
          <w:p w:rsidR="00253017" w:rsidRDefault="003434A4" w:rsidP="00752B01">
            <w:pPr>
              <w:jc w:val="center"/>
            </w:pPr>
            <w:r>
              <w:t>***</w:t>
            </w:r>
          </w:p>
        </w:tc>
      </w:tr>
      <w:tr w:rsidR="00253017" w:rsidTr="00B52BCE">
        <w:tc>
          <w:tcPr>
            <w:tcW w:w="1421" w:type="pct"/>
            <w:gridSpan w:val="2"/>
          </w:tcPr>
          <w:p w:rsidR="00253017" w:rsidRDefault="00253017" w:rsidP="00752B01">
            <w:r>
              <w:t xml:space="preserve">    Median</w:t>
            </w:r>
          </w:p>
        </w:tc>
        <w:tc>
          <w:tcPr>
            <w:tcW w:w="705" w:type="pct"/>
            <w:gridSpan w:val="2"/>
          </w:tcPr>
          <w:p w:rsidR="00253017" w:rsidRDefault="00253017" w:rsidP="00752B01">
            <w:pPr>
              <w:jc w:val="center"/>
            </w:pPr>
            <w:r>
              <w:t>86,053</w:t>
            </w:r>
          </w:p>
        </w:tc>
        <w:tc>
          <w:tcPr>
            <w:tcW w:w="611" w:type="pct"/>
            <w:gridSpan w:val="2"/>
          </w:tcPr>
          <w:p w:rsidR="00253017" w:rsidRDefault="00253017" w:rsidP="00752B01">
            <w:pPr>
              <w:jc w:val="center"/>
            </w:pPr>
            <w:r>
              <w:t>56,305</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88,840</w:t>
            </w:r>
          </w:p>
        </w:tc>
        <w:tc>
          <w:tcPr>
            <w:tcW w:w="660" w:type="pct"/>
            <w:gridSpan w:val="2"/>
          </w:tcPr>
          <w:p w:rsidR="00253017" w:rsidRDefault="00253017" w:rsidP="00752B01">
            <w:pPr>
              <w:jc w:val="center"/>
            </w:pPr>
            <w:r>
              <w:t>59,095</w:t>
            </w:r>
          </w:p>
        </w:tc>
        <w:tc>
          <w:tcPr>
            <w:tcW w:w="381" w:type="pct"/>
          </w:tcPr>
          <w:p w:rsidR="00253017" w:rsidRDefault="003434A4" w:rsidP="00752B01">
            <w:pPr>
              <w:jc w:val="center"/>
            </w:pPr>
            <w:r>
              <w:t>***</w:t>
            </w:r>
          </w:p>
        </w:tc>
      </w:tr>
      <w:tr w:rsidR="00253017" w:rsidTr="00B52BCE">
        <w:tc>
          <w:tcPr>
            <w:tcW w:w="1421" w:type="pct"/>
            <w:gridSpan w:val="2"/>
          </w:tcPr>
          <w:p w:rsidR="00253017" w:rsidRDefault="00253017" w:rsidP="00752B01">
            <w:r>
              <w:t xml:space="preserve">    75</w:t>
            </w:r>
            <w:r w:rsidRPr="002827B5">
              <w:rPr>
                <w:vertAlign w:val="superscript"/>
              </w:rPr>
              <w:t>th</w:t>
            </w:r>
            <w:r>
              <w:t xml:space="preserve"> </w:t>
            </w:r>
          </w:p>
        </w:tc>
        <w:tc>
          <w:tcPr>
            <w:tcW w:w="705" w:type="pct"/>
            <w:gridSpan w:val="2"/>
          </w:tcPr>
          <w:p w:rsidR="00253017" w:rsidRDefault="00253017" w:rsidP="00752B01">
            <w:pPr>
              <w:jc w:val="center"/>
            </w:pPr>
            <w:r>
              <w:t>127,837</w:t>
            </w:r>
          </w:p>
        </w:tc>
        <w:tc>
          <w:tcPr>
            <w:tcW w:w="611" w:type="pct"/>
            <w:gridSpan w:val="2"/>
          </w:tcPr>
          <w:p w:rsidR="00253017" w:rsidRDefault="00253017" w:rsidP="00752B01">
            <w:pPr>
              <w:jc w:val="center"/>
            </w:pPr>
            <w:r>
              <w:t>85,100</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143,331</w:t>
            </w:r>
          </w:p>
        </w:tc>
        <w:tc>
          <w:tcPr>
            <w:tcW w:w="660" w:type="pct"/>
            <w:gridSpan w:val="2"/>
          </w:tcPr>
          <w:p w:rsidR="00253017" w:rsidRDefault="00253017" w:rsidP="00752B01">
            <w:pPr>
              <w:jc w:val="center"/>
            </w:pPr>
            <w:r>
              <w:t>88,147</w:t>
            </w:r>
          </w:p>
        </w:tc>
        <w:tc>
          <w:tcPr>
            <w:tcW w:w="381" w:type="pct"/>
          </w:tcPr>
          <w:p w:rsidR="00253017" w:rsidRDefault="003434A4" w:rsidP="00752B01">
            <w:pPr>
              <w:jc w:val="center"/>
            </w:pPr>
            <w:r>
              <w:t>***</w:t>
            </w:r>
          </w:p>
        </w:tc>
      </w:tr>
      <w:tr w:rsidR="00253017" w:rsidTr="00B52BCE">
        <w:tc>
          <w:tcPr>
            <w:tcW w:w="1421" w:type="pct"/>
            <w:gridSpan w:val="2"/>
          </w:tcPr>
          <w:p w:rsidR="00253017" w:rsidRDefault="00253017" w:rsidP="00752B01">
            <w:r>
              <w:t>Total wealth</w:t>
            </w:r>
          </w:p>
        </w:tc>
        <w:tc>
          <w:tcPr>
            <w:tcW w:w="705" w:type="pct"/>
            <w:gridSpan w:val="2"/>
          </w:tcPr>
          <w:p w:rsidR="00253017" w:rsidRDefault="00253017" w:rsidP="00752B01">
            <w:pPr>
              <w:jc w:val="center"/>
            </w:pPr>
          </w:p>
        </w:tc>
        <w:tc>
          <w:tcPr>
            <w:tcW w:w="611" w:type="pct"/>
            <w:gridSpan w:val="2"/>
          </w:tcPr>
          <w:p w:rsidR="00253017" w:rsidRDefault="00253017" w:rsidP="00752B01">
            <w:pPr>
              <w:jc w:val="center"/>
            </w:pPr>
          </w:p>
        </w:tc>
        <w:tc>
          <w:tcPr>
            <w:tcW w:w="376" w:type="pct"/>
            <w:gridSpan w:val="2"/>
          </w:tcPr>
          <w:p w:rsidR="00253017" w:rsidRDefault="00253017" w:rsidP="00752B01">
            <w:pPr>
              <w:jc w:val="center"/>
            </w:pPr>
          </w:p>
        </w:tc>
        <w:tc>
          <w:tcPr>
            <w:tcW w:w="141" w:type="pct"/>
          </w:tcPr>
          <w:p w:rsidR="00253017" w:rsidRDefault="00253017" w:rsidP="00752B01">
            <w:pPr>
              <w:jc w:val="center"/>
            </w:pPr>
          </w:p>
        </w:tc>
        <w:tc>
          <w:tcPr>
            <w:tcW w:w="705" w:type="pct"/>
            <w:gridSpan w:val="2"/>
          </w:tcPr>
          <w:p w:rsidR="00253017" w:rsidRDefault="00253017" w:rsidP="00752B01">
            <w:pPr>
              <w:jc w:val="center"/>
            </w:pPr>
          </w:p>
        </w:tc>
        <w:tc>
          <w:tcPr>
            <w:tcW w:w="660" w:type="pct"/>
            <w:gridSpan w:val="2"/>
          </w:tcPr>
          <w:p w:rsidR="00253017" w:rsidRDefault="00253017" w:rsidP="00752B01">
            <w:pPr>
              <w:jc w:val="center"/>
            </w:pPr>
          </w:p>
        </w:tc>
        <w:tc>
          <w:tcPr>
            <w:tcW w:w="381" w:type="pct"/>
          </w:tcPr>
          <w:p w:rsidR="00253017" w:rsidRDefault="00253017" w:rsidP="00752B01">
            <w:pPr>
              <w:jc w:val="center"/>
            </w:pPr>
          </w:p>
        </w:tc>
      </w:tr>
      <w:tr w:rsidR="00253017" w:rsidTr="00B52BCE">
        <w:tc>
          <w:tcPr>
            <w:tcW w:w="1421" w:type="pct"/>
            <w:gridSpan w:val="2"/>
          </w:tcPr>
          <w:p w:rsidR="00253017" w:rsidRDefault="00253017" w:rsidP="00752B01">
            <w:r>
              <w:t xml:space="preserve">    25</w:t>
            </w:r>
            <w:r w:rsidRPr="002827B5">
              <w:rPr>
                <w:vertAlign w:val="superscript"/>
              </w:rPr>
              <w:t>th</w:t>
            </w:r>
            <w:r>
              <w:t xml:space="preserve"> </w:t>
            </w:r>
          </w:p>
        </w:tc>
        <w:tc>
          <w:tcPr>
            <w:tcW w:w="705" w:type="pct"/>
            <w:gridSpan w:val="2"/>
          </w:tcPr>
          <w:p w:rsidR="00253017" w:rsidRDefault="00253017" w:rsidP="00752B01">
            <w:pPr>
              <w:jc w:val="center"/>
            </w:pPr>
            <w:r>
              <w:t>44,191</w:t>
            </w:r>
          </w:p>
        </w:tc>
        <w:tc>
          <w:tcPr>
            <w:tcW w:w="611" w:type="pct"/>
            <w:gridSpan w:val="2"/>
          </w:tcPr>
          <w:p w:rsidR="00253017" w:rsidRDefault="00253017" w:rsidP="00752B01">
            <w:pPr>
              <w:jc w:val="center"/>
            </w:pPr>
            <w:r>
              <w:t>4,980</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47,415</w:t>
            </w:r>
          </w:p>
        </w:tc>
        <w:tc>
          <w:tcPr>
            <w:tcW w:w="660" w:type="pct"/>
            <w:gridSpan w:val="2"/>
          </w:tcPr>
          <w:p w:rsidR="00253017" w:rsidRDefault="00253017" w:rsidP="00752B01">
            <w:pPr>
              <w:jc w:val="center"/>
            </w:pPr>
            <w:r>
              <w:t>4,631</w:t>
            </w:r>
          </w:p>
        </w:tc>
        <w:tc>
          <w:tcPr>
            <w:tcW w:w="381" w:type="pct"/>
          </w:tcPr>
          <w:p w:rsidR="00253017" w:rsidRDefault="003434A4" w:rsidP="00752B01">
            <w:pPr>
              <w:jc w:val="center"/>
            </w:pPr>
            <w:r>
              <w:t>***</w:t>
            </w:r>
          </w:p>
        </w:tc>
      </w:tr>
      <w:tr w:rsidR="00253017" w:rsidTr="00B52BCE">
        <w:tc>
          <w:tcPr>
            <w:tcW w:w="1421" w:type="pct"/>
            <w:gridSpan w:val="2"/>
          </w:tcPr>
          <w:p w:rsidR="00253017" w:rsidRDefault="00253017" w:rsidP="00752B01">
            <w:r>
              <w:t xml:space="preserve">    Median</w:t>
            </w:r>
          </w:p>
        </w:tc>
        <w:tc>
          <w:tcPr>
            <w:tcW w:w="705" w:type="pct"/>
            <w:gridSpan w:val="2"/>
          </w:tcPr>
          <w:p w:rsidR="00253017" w:rsidRDefault="00253017" w:rsidP="00752B01">
            <w:pPr>
              <w:jc w:val="center"/>
            </w:pPr>
            <w:r>
              <w:t>135,499</w:t>
            </w:r>
          </w:p>
        </w:tc>
        <w:tc>
          <w:tcPr>
            <w:tcW w:w="611" w:type="pct"/>
            <w:gridSpan w:val="2"/>
          </w:tcPr>
          <w:p w:rsidR="00253017" w:rsidRDefault="00253017" w:rsidP="00752B01">
            <w:pPr>
              <w:jc w:val="center"/>
            </w:pPr>
            <w:r>
              <w:t>46,747</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149,803</w:t>
            </w:r>
          </w:p>
        </w:tc>
        <w:tc>
          <w:tcPr>
            <w:tcW w:w="660" w:type="pct"/>
            <w:gridSpan w:val="2"/>
          </w:tcPr>
          <w:p w:rsidR="00253017" w:rsidRDefault="00253017" w:rsidP="00752B01">
            <w:pPr>
              <w:jc w:val="center"/>
            </w:pPr>
            <w:r>
              <w:t>50,908</w:t>
            </w:r>
          </w:p>
        </w:tc>
        <w:tc>
          <w:tcPr>
            <w:tcW w:w="381" w:type="pct"/>
          </w:tcPr>
          <w:p w:rsidR="00253017" w:rsidRDefault="003434A4" w:rsidP="00752B01">
            <w:pPr>
              <w:jc w:val="center"/>
            </w:pPr>
            <w:r>
              <w:t>***</w:t>
            </w:r>
          </w:p>
        </w:tc>
      </w:tr>
      <w:tr w:rsidR="00253017" w:rsidTr="00B52BCE">
        <w:tc>
          <w:tcPr>
            <w:tcW w:w="1421" w:type="pct"/>
            <w:gridSpan w:val="2"/>
          </w:tcPr>
          <w:p w:rsidR="00253017" w:rsidRDefault="00253017" w:rsidP="00752B01">
            <w:r>
              <w:t xml:space="preserve">    75</w:t>
            </w:r>
            <w:r w:rsidRPr="002827B5">
              <w:rPr>
                <w:vertAlign w:val="superscript"/>
              </w:rPr>
              <w:t>th</w:t>
            </w:r>
            <w:r>
              <w:t xml:space="preserve"> </w:t>
            </w:r>
          </w:p>
        </w:tc>
        <w:tc>
          <w:tcPr>
            <w:tcW w:w="705" w:type="pct"/>
            <w:gridSpan w:val="2"/>
          </w:tcPr>
          <w:p w:rsidR="00253017" w:rsidRDefault="00253017" w:rsidP="00752B01">
            <w:pPr>
              <w:jc w:val="center"/>
            </w:pPr>
            <w:r>
              <w:t>313,136</w:t>
            </w:r>
          </w:p>
        </w:tc>
        <w:tc>
          <w:tcPr>
            <w:tcW w:w="611" w:type="pct"/>
            <w:gridSpan w:val="2"/>
          </w:tcPr>
          <w:p w:rsidR="00253017" w:rsidRDefault="00253017" w:rsidP="00752B01">
            <w:pPr>
              <w:jc w:val="center"/>
            </w:pPr>
            <w:r>
              <w:t>129,415</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339,388</w:t>
            </w:r>
          </w:p>
        </w:tc>
        <w:tc>
          <w:tcPr>
            <w:tcW w:w="660" w:type="pct"/>
            <w:gridSpan w:val="2"/>
          </w:tcPr>
          <w:p w:rsidR="00253017" w:rsidRDefault="00253017" w:rsidP="00752B01">
            <w:pPr>
              <w:jc w:val="center"/>
            </w:pPr>
            <w:r>
              <w:t>140,555</w:t>
            </w:r>
          </w:p>
        </w:tc>
        <w:tc>
          <w:tcPr>
            <w:tcW w:w="381" w:type="pct"/>
          </w:tcPr>
          <w:p w:rsidR="00253017" w:rsidRDefault="003434A4" w:rsidP="00752B01">
            <w:pPr>
              <w:jc w:val="center"/>
            </w:pPr>
            <w:r>
              <w:t>***</w:t>
            </w:r>
          </w:p>
        </w:tc>
      </w:tr>
      <w:tr w:rsidR="00253017" w:rsidTr="00B52BCE">
        <w:tc>
          <w:tcPr>
            <w:tcW w:w="1421" w:type="pct"/>
            <w:gridSpan w:val="2"/>
          </w:tcPr>
          <w:p w:rsidR="00253017" w:rsidRDefault="00253017" w:rsidP="00752B01">
            <w:r>
              <w:t>Non-housing wealth</w:t>
            </w:r>
          </w:p>
        </w:tc>
        <w:tc>
          <w:tcPr>
            <w:tcW w:w="705" w:type="pct"/>
            <w:gridSpan w:val="2"/>
          </w:tcPr>
          <w:p w:rsidR="00253017" w:rsidRDefault="00253017" w:rsidP="00752B01">
            <w:pPr>
              <w:jc w:val="center"/>
            </w:pPr>
          </w:p>
        </w:tc>
        <w:tc>
          <w:tcPr>
            <w:tcW w:w="611" w:type="pct"/>
            <w:gridSpan w:val="2"/>
          </w:tcPr>
          <w:p w:rsidR="00253017" w:rsidRDefault="00253017" w:rsidP="00752B01">
            <w:pPr>
              <w:jc w:val="center"/>
            </w:pPr>
          </w:p>
        </w:tc>
        <w:tc>
          <w:tcPr>
            <w:tcW w:w="376" w:type="pct"/>
            <w:gridSpan w:val="2"/>
          </w:tcPr>
          <w:p w:rsidR="00253017" w:rsidRDefault="00253017" w:rsidP="00752B01">
            <w:pPr>
              <w:jc w:val="center"/>
            </w:pPr>
          </w:p>
        </w:tc>
        <w:tc>
          <w:tcPr>
            <w:tcW w:w="141" w:type="pct"/>
          </w:tcPr>
          <w:p w:rsidR="00253017" w:rsidRDefault="00253017" w:rsidP="00752B01">
            <w:pPr>
              <w:jc w:val="center"/>
            </w:pPr>
          </w:p>
        </w:tc>
        <w:tc>
          <w:tcPr>
            <w:tcW w:w="705" w:type="pct"/>
            <w:gridSpan w:val="2"/>
          </w:tcPr>
          <w:p w:rsidR="00253017" w:rsidRDefault="00253017" w:rsidP="00752B01">
            <w:pPr>
              <w:jc w:val="center"/>
            </w:pPr>
          </w:p>
        </w:tc>
        <w:tc>
          <w:tcPr>
            <w:tcW w:w="660" w:type="pct"/>
            <w:gridSpan w:val="2"/>
          </w:tcPr>
          <w:p w:rsidR="00253017" w:rsidRDefault="00253017" w:rsidP="00752B01">
            <w:pPr>
              <w:jc w:val="center"/>
            </w:pPr>
          </w:p>
        </w:tc>
        <w:tc>
          <w:tcPr>
            <w:tcW w:w="381" w:type="pct"/>
          </w:tcPr>
          <w:p w:rsidR="00253017" w:rsidRDefault="00253017" w:rsidP="00752B01">
            <w:pPr>
              <w:jc w:val="center"/>
            </w:pPr>
          </w:p>
        </w:tc>
      </w:tr>
      <w:tr w:rsidR="00253017" w:rsidTr="00B52BCE">
        <w:tc>
          <w:tcPr>
            <w:tcW w:w="1421" w:type="pct"/>
            <w:gridSpan w:val="2"/>
          </w:tcPr>
          <w:p w:rsidR="00253017" w:rsidRDefault="00253017" w:rsidP="00752B01">
            <w:r>
              <w:t xml:space="preserve">    25</w:t>
            </w:r>
            <w:r w:rsidRPr="002827B5">
              <w:rPr>
                <w:vertAlign w:val="superscript"/>
              </w:rPr>
              <w:t>th</w:t>
            </w:r>
            <w:r>
              <w:t xml:space="preserve"> </w:t>
            </w:r>
          </w:p>
        </w:tc>
        <w:tc>
          <w:tcPr>
            <w:tcW w:w="705" w:type="pct"/>
            <w:gridSpan w:val="2"/>
          </w:tcPr>
          <w:p w:rsidR="00253017" w:rsidRDefault="00253017" w:rsidP="00752B01">
            <w:pPr>
              <w:jc w:val="center"/>
            </w:pPr>
            <w:r>
              <w:t>8,485</w:t>
            </w:r>
          </w:p>
        </w:tc>
        <w:tc>
          <w:tcPr>
            <w:tcW w:w="611" w:type="pct"/>
            <w:gridSpan w:val="2"/>
          </w:tcPr>
          <w:p w:rsidR="00253017" w:rsidRDefault="00253017" w:rsidP="00752B01">
            <w:pPr>
              <w:jc w:val="center"/>
            </w:pPr>
            <w:r>
              <w:t>1,068</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7,748</w:t>
            </w:r>
          </w:p>
        </w:tc>
        <w:tc>
          <w:tcPr>
            <w:tcW w:w="660" w:type="pct"/>
            <w:gridSpan w:val="2"/>
          </w:tcPr>
          <w:p w:rsidR="00253017" w:rsidRDefault="00253017" w:rsidP="00752B01">
            <w:pPr>
              <w:jc w:val="center"/>
            </w:pPr>
            <w:r>
              <w:t>762</w:t>
            </w:r>
          </w:p>
        </w:tc>
        <w:tc>
          <w:tcPr>
            <w:tcW w:w="381" w:type="pct"/>
          </w:tcPr>
          <w:p w:rsidR="00253017" w:rsidRDefault="003434A4" w:rsidP="00752B01">
            <w:pPr>
              <w:jc w:val="center"/>
            </w:pPr>
            <w:r>
              <w:t>**</w:t>
            </w:r>
          </w:p>
        </w:tc>
      </w:tr>
      <w:tr w:rsidR="00253017" w:rsidTr="00B52BCE">
        <w:tc>
          <w:tcPr>
            <w:tcW w:w="1421" w:type="pct"/>
            <w:gridSpan w:val="2"/>
          </w:tcPr>
          <w:p w:rsidR="00253017" w:rsidRDefault="00253017" w:rsidP="00752B01">
            <w:r>
              <w:t xml:space="preserve">    Median</w:t>
            </w:r>
          </w:p>
        </w:tc>
        <w:tc>
          <w:tcPr>
            <w:tcW w:w="705" w:type="pct"/>
            <w:gridSpan w:val="2"/>
          </w:tcPr>
          <w:p w:rsidR="00253017" w:rsidRDefault="00253017" w:rsidP="00752B01">
            <w:pPr>
              <w:jc w:val="center"/>
            </w:pPr>
            <w:r>
              <w:t>43,443</w:t>
            </w:r>
          </w:p>
        </w:tc>
        <w:tc>
          <w:tcPr>
            <w:tcW w:w="611" w:type="pct"/>
            <w:gridSpan w:val="2"/>
          </w:tcPr>
          <w:p w:rsidR="00253017" w:rsidRDefault="00253017" w:rsidP="00752B01">
            <w:pPr>
              <w:jc w:val="center"/>
            </w:pPr>
            <w:r>
              <w:t>12,102</w:t>
            </w:r>
          </w:p>
        </w:tc>
        <w:tc>
          <w:tcPr>
            <w:tcW w:w="376" w:type="pct"/>
            <w:gridSpan w:val="2"/>
          </w:tcPr>
          <w:p w:rsidR="00253017" w:rsidRDefault="00752B01" w:rsidP="00752B01">
            <w:pPr>
              <w:jc w:val="center"/>
            </w:pPr>
            <w:r>
              <w:t>***</w:t>
            </w:r>
          </w:p>
        </w:tc>
        <w:tc>
          <w:tcPr>
            <w:tcW w:w="141" w:type="pct"/>
          </w:tcPr>
          <w:p w:rsidR="00253017" w:rsidRDefault="00253017" w:rsidP="00752B01">
            <w:pPr>
              <w:jc w:val="center"/>
            </w:pPr>
          </w:p>
        </w:tc>
        <w:tc>
          <w:tcPr>
            <w:tcW w:w="705" w:type="pct"/>
            <w:gridSpan w:val="2"/>
          </w:tcPr>
          <w:p w:rsidR="00253017" w:rsidRDefault="00253017" w:rsidP="00752B01">
            <w:pPr>
              <w:jc w:val="center"/>
            </w:pPr>
            <w:r>
              <w:t>38,227</w:t>
            </w:r>
          </w:p>
        </w:tc>
        <w:tc>
          <w:tcPr>
            <w:tcW w:w="660" w:type="pct"/>
            <w:gridSpan w:val="2"/>
          </w:tcPr>
          <w:p w:rsidR="00253017" w:rsidRDefault="00253017" w:rsidP="00752B01">
            <w:pPr>
              <w:jc w:val="center"/>
            </w:pPr>
            <w:r>
              <w:t>14,464</w:t>
            </w:r>
          </w:p>
        </w:tc>
        <w:tc>
          <w:tcPr>
            <w:tcW w:w="381" w:type="pct"/>
          </w:tcPr>
          <w:p w:rsidR="00253017" w:rsidRDefault="003434A4" w:rsidP="00752B01">
            <w:pPr>
              <w:jc w:val="center"/>
            </w:pPr>
            <w:r>
              <w:t>**</w:t>
            </w:r>
          </w:p>
        </w:tc>
      </w:tr>
      <w:tr w:rsidR="00253017" w:rsidTr="00B52BCE">
        <w:tc>
          <w:tcPr>
            <w:tcW w:w="1421" w:type="pct"/>
            <w:gridSpan w:val="2"/>
            <w:tcBorders>
              <w:bottom w:val="single" w:sz="4" w:space="0" w:color="auto"/>
            </w:tcBorders>
          </w:tcPr>
          <w:p w:rsidR="00253017" w:rsidRDefault="00253017" w:rsidP="00752B01">
            <w:r>
              <w:t xml:space="preserve">    75</w:t>
            </w:r>
            <w:r w:rsidRPr="002827B5">
              <w:rPr>
                <w:vertAlign w:val="superscript"/>
              </w:rPr>
              <w:t>th</w:t>
            </w:r>
            <w:r>
              <w:t xml:space="preserve"> </w:t>
            </w:r>
          </w:p>
        </w:tc>
        <w:tc>
          <w:tcPr>
            <w:tcW w:w="705" w:type="pct"/>
            <w:gridSpan w:val="2"/>
            <w:tcBorders>
              <w:bottom w:val="single" w:sz="4" w:space="0" w:color="auto"/>
            </w:tcBorders>
          </w:tcPr>
          <w:p w:rsidR="00253017" w:rsidRDefault="00253017" w:rsidP="00752B01">
            <w:pPr>
              <w:jc w:val="center"/>
            </w:pPr>
            <w:r>
              <w:t>159,361</w:t>
            </w:r>
          </w:p>
        </w:tc>
        <w:tc>
          <w:tcPr>
            <w:tcW w:w="611" w:type="pct"/>
            <w:gridSpan w:val="2"/>
            <w:tcBorders>
              <w:bottom w:val="single" w:sz="4" w:space="0" w:color="auto"/>
            </w:tcBorders>
          </w:tcPr>
          <w:p w:rsidR="00253017" w:rsidRDefault="00253017" w:rsidP="00752B01">
            <w:pPr>
              <w:jc w:val="center"/>
            </w:pPr>
            <w:r>
              <w:t>50,010</w:t>
            </w:r>
          </w:p>
        </w:tc>
        <w:tc>
          <w:tcPr>
            <w:tcW w:w="376" w:type="pct"/>
            <w:gridSpan w:val="2"/>
            <w:tcBorders>
              <w:bottom w:val="single" w:sz="4" w:space="0" w:color="auto"/>
            </w:tcBorders>
          </w:tcPr>
          <w:p w:rsidR="00253017" w:rsidRDefault="00752B01" w:rsidP="00752B01">
            <w:pPr>
              <w:jc w:val="center"/>
            </w:pPr>
            <w:r>
              <w:t>***</w:t>
            </w:r>
          </w:p>
        </w:tc>
        <w:tc>
          <w:tcPr>
            <w:tcW w:w="141" w:type="pct"/>
            <w:tcBorders>
              <w:bottom w:val="single" w:sz="4" w:space="0" w:color="auto"/>
            </w:tcBorders>
          </w:tcPr>
          <w:p w:rsidR="00253017" w:rsidRDefault="00253017" w:rsidP="00752B01">
            <w:pPr>
              <w:jc w:val="center"/>
            </w:pPr>
          </w:p>
        </w:tc>
        <w:tc>
          <w:tcPr>
            <w:tcW w:w="705" w:type="pct"/>
            <w:gridSpan w:val="2"/>
            <w:tcBorders>
              <w:bottom w:val="single" w:sz="4" w:space="0" w:color="auto"/>
            </w:tcBorders>
          </w:tcPr>
          <w:p w:rsidR="00253017" w:rsidRDefault="00253017" w:rsidP="00752B01">
            <w:pPr>
              <w:jc w:val="center"/>
            </w:pPr>
            <w:r>
              <w:t>169,694</w:t>
            </w:r>
          </w:p>
        </w:tc>
        <w:tc>
          <w:tcPr>
            <w:tcW w:w="660" w:type="pct"/>
            <w:gridSpan w:val="2"/>
            <w:tcBorders>
              <w:bottom w:val="single" w:sz="4" w:space="0" w:color="auto"/>
            </w:tcBorders>
          </w:tcPr>
          <w:p w:rsidR="00253017" w:rsidRDefault="00253017" w:rsidP="00752B01">
            <w:pPr>
              <w:jc w:val="center"/>
            </w:pPr>
            <w:r>
              <w:t>42,923</w:t>
            </w:r>
          </w:p>
        </w:tc>
        <w:tc>
          <w:tcPr>
            <w:tcW w:w="381" w:type="pct"/>
            <w:tcBorders>
              <w:bottom w:val="single" w:sz="4" w:space="0" w:color="auto"/>
            </w:tcBorders>
          </w:tcPr>
          <w:p w:rsidR="00253017" w:rsidRDefault="003434A4" w:rsidP="00752B01">
            <w:pPr>
              <w:jc w:val="center"/>
            </w:pPr>
            <w:r>
              <w:t>***</w:t>
            </w:r>
          </w:p>
        </w:tc>
      </w:tr>
    </w:tbl>
    <w:p w:rsidR="00181454" w:rsidRDefault="00253017">
      <w:r>
        <w:t>NOTE:  The Full Sample includes 19 and 20 year olds in 1984, 1989, 1994, and biennially from 1999 to 2009.  The TA Sample only includes those individuals who additionally were respondents to the TA Supplement in 2005, 2007, and 2009.  All dollar values are adjusted to 2008 with the PCE. All tabulations are weighted.</w:t>
      </w:r>
      <w:r w:rsidR="00C75B90">
        <w:t xml:space="preserve">  </w:t>
      </w:r>
      <w:r w:rsidR="00C77E7B">
        <w:t xml:space="preserve">The “Diff.” column contains the significance level </w:t>
      </w:r>
      <w:r w:rsidR="00C75B90">
        <w:t>for a two-tailed test for whether the chara</w:t>
      </w:r>
      <w:r w:rsidR="00C77E7B">
        <w:t>cteristics are different: * is .05, ** is .01, and *** is .001.</w:t>
      </w:r>
    </w:p>
    <w:p w:rsidR="005A2C7A" w:rsidRDefault="00815BC2">
      <w:r>
        <w:t xml:space="preserve"> </w:t>
      </w:r>
      <w:r w:rsidR="005A2C7A">
        <w:br w:type="page"/>
      </w:r>
    </w:p>
    <w:p w:rsidR="000E28B5" w:rsidRDefault="007329CC" w:rsidP="00A769A7">
      <w:pPr>
        <w:jc w:val="center"/>
      </w:pPr>
      <w:r>
        <w:lastRenderedPageBreak/>
        <w:t xml:space="preserve">Table 2: </w:t>
      </w:r>
      <w:r w:rsidR="000E28B5">
        <w:t>Household characteristics by college attendance of 19</w:t>
      </w:r>
      <w:r w:rsidR="002E21D6">
        <w:t>-</w:t>
      </w:r>
      <w:r w:rsidR="007A1F70">
        <w:t>21</w:t>
      </w:r>
      <w:r w:rsidR="000E28B5">
        <w:t xml:space="preserve"> year olds, HRS</w:t>
      </w:r>
    </w:p>
    <w:p w:rsidR="007329CC" w:rsidRDefault="007329CC" w:rsidP="007329CC"/>
    <w:tbl>
      <w:tblPr>
        <w:tblStyle w:val="TableGrid"/>
        <w:tblW w:w="4138"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512"/>
        <w:gridCol w:w="1713"/>
        <w:gridCol w:w="1804"/>
        <w:gridCol w:w="896"/>
      </w:tblGrid>
      <w:tr w:rsidR="00C32278" w:rsidTr="00830F3A">
        <w:trPr>
          <w:jc w:val="center"/>
        </w:trPr>
        <w:tc>
          <w:tcPr>
            <w:tcW w:w="2216" w:type="pct"/>
            <w:tcBorders>
              <w:top w:val="single" w:sz="4" w:space="0" w:color="auto"/>
            </w:tcBorders>
          </w:tcPr>
          <w:p w:rsidR="00C32278" w:rsidRDefault="00C32278" w:rsidP="00D44CD8"/>
        </w:tc>
        <w:tc>
          <w:tcPr>
            <w:tcW w:w="1081" w:type="pct"/>
            <w:tcBorders>
              <w:top w:val="single" w:sz="4" w:space="0" w:color="auto"/>
            </w:tcBorders>
          </w:tcPr>
          <w:p w:rsidR="00C32278" w:rsidRDefault="00C32278" w:rsidP="004842B4">
            <w:pPr>
              <w:jc w:val="center"/>
            </w:pPr>
          </w:p>
        </w:tc>
        <w:tc>
          <w:tcPr>
            <w:tcW w:w="1138" w:type="pct"/>
            <w:tcBorders>
              <w:top w:val="single" w:sz="4" w:space="0" w:color="auto"/>
            </w:tcBorders>
          </w:tcPr>
          <w:p w:rsidR="00C32278" w:rsidRDefault="00C32278" w:rsidP="004842B4">
            <w:pPr>
              <w:jc w:val="center"/>
            </w:pPr>
          </w:p>
        </w:tc>
        <w:tc>
          <w:tcPr>
            <w:tcW w:w="565" w:type="pct"/>
            <w:tcBorders>
              <w:top w:val="single" w:sz="4" w:space="0" w:color="auto"/>
            </w:tcBorders>
          </w:tcPr>
          <w:p w:rsidR="00C32278" w:rsidRDefault="00C32278" w:rsidP="004842B4">
            <w:pPr>
              <w:jc w:val="center"/>
            </w:pPr>
          </w:p>
        </w:tc>
      </w:tr>
      <w:tr w:rsidR="00830F3A" w:rsidTr="00830F3A">
        <w:trPr>
          <w:jc w:val="center"/>
        </w:trPr>
        <w:tc>
          <w:tcPr>
            <w:tcW w:w="2216" w:type="pct"/>
          </w:tcPr>
          <w:p w:rsidR="00830F3A" w:rsidRDefault="00830F3A" w:rsidP="00D44CD8"/>
        </w:tc>
        <w:tc>
          <w:tcPr>
            <w:tcW w:w="2784" w:type="pct"/>
            <w:gridSpan w:val="3"/>
            <w:tcBorders>
              <w:bottom w:val="single" w:sz="4" w:space="0" w:color="auto"/>
            </w:tcBorders>
          </w:tcPr>
          <w:p w:rsidR="00830F3A" w:rsidRDefault="00830F3A" w:rsidP="004842B4">
            <w:pPr>
              <w:jc w:val="center"/>
            </w:pPr>
            <w:r>
              <w:t>Attending</w:t>
            </w:r>
          </w:p>
        </w:tc>
      </w:tr>
      <w:tr w:rsidR="00C32278" w:rsidTr="00830F3A">
        <w:trPr>
          <w:jc w:val="center"/>
        </w:trPr>
        <w:tc>
          <w:tcPr>
            <w:tcW w:w="2216" w:type="pct"/>
          </w:tcPr>
          <w:p w:rsidR="00C32278" w:rsidRDefault="00C32278" w:rsidP="00C267A6"/>
        </w:tc>
        <w:tc>
          <w:tcPr>
            <w:tcW w:w="1081" w:type="pct"/>
            <w:tcBorders>
              <w:top w:val="single" w:sz="4" w:space="0" w:color="auto"/>
            </w:tcBorders>
          </w:tcPr>
          <w:p w:rsidR="00C32278" w:rsidRDefault="00C32278" w:rsidP="00E9032A">
            <w:pPr>
              <w:jc w:val="center"/>
            </w:pPr>
            <w:r>
              <w:t>Yes</w:t>
            </w:r>
          </w:p>
        </w:tc>
        <w:tc>
          <w:tcPr>
            <w:tcW w:w="1138" w:type="pct"/>
            <w:tcBorders>
              <w:top w:val="single" w:sz="4" w:space="0" w:color="auto"/>
            </w:tcBorders>
          </w:tcPr>
          <w:p w:rsidR="00C32278" w:rsidRDefault="00C32278" w:rsidP="00E9032A">
            <w:pPr>
              <w:jc w:val="center"/>
            </w:pPr>
            <w:r>
              <w:t>No</w:t>
            </w:r>
          </w:p>
        </w:tc>
        <w:tc>
          <w:tcPr>
            <w:tcW w:w="565" w:type="pct"/>
            <w:tcBorders>
              <w:top w:val="single" w:sz="4" w:space="0" w:color="auto"/>
            </w:tcBorders>
          </w:tcPr>
          <w:p w:rsidR="00C32278" w:rsidRDefault="00B54FB8" w:rsidP="00E9032A">
            <w:pPr>
              <w:jc w:val="center"/>
            </w:pPr>
            <w:r>
              <w:t>Diff.</w:t>
            </w:r>
          </w:p>
        </w:tc>
      </w:tr>
      <w:tr w:rsidR="00C32278" w:rsidTr="00C32278">
        <w:trPr>
          <w:jc w:val="center"/>
        </w:trPr>
        <w:tc>
          <w:tcPr>
            <w:tcW w:w="2216" w:type="pct"/>
            <w:tcBorders>
              <w:top w:val="single" w:sz="4" w:space="0" w:color="auto"/>
            </w:tcBorders>
          </w:tcPr>
          <w:p w:rsidR="00C32278" w:rsidRDefault="00C32278" w:rsidP="00C267A6">
            <w:r>
              <w:t>N</w:t>
            </w:r>
          </w:p>
        </w:tc>
        <w:tc>
          <w:tcPr>
            <w:tcW w:w="1081" w:type="pct"/>
            <w:tcBorders>
              <w:top w:val="single" w:sz="4" w:space="0" w:color="auto"/>
            </w:tcBorders>
          </w:tcPr>
          <w:p w:rsidR="00C32278" w:rsidRDefault="00C32278" w:rsidP="004842B4">
            <w:pPr>
              <w:jc w:val="center"/>
            </w:pPr>
            <w:r>
              <w:t>1,840</w:t>
            </w:r>
          </w:p>
        </w:tc>
        <w:tc>
          <w:tcPr>
            <w:tcW w:w="1138" w:type="pct"/>
            <w:tcBorders>
              <w:top w:val="single" w:sz="4" w:space="0" w:color="auto"/>
            </w:tcBorders>
          </w:tcPr>
          <w:p w:rsidR="00C32278" w:rsidRDefault="00C32278" w:rsidP="004842B4">
            <w:pPr>
              <w:jc w:val="center"/>
            </w:pPr>
            <w:r>
              <w:t>1,348</w:t>
            </w:r>
          </w:p>
        </w:tc>
        <w:tc>
          <w:tcPr>
            <w:tcW w:w="565" w:type="pct"/>
            <w:tcBorders>
              <w:top w:val="single" w:sz="4" w:space="0" w:color="auto"/>
            </w:tcBorders>
          </w:tcPr>
          <w:p w:rsidR="00C32278" w:rsidRDefault="00C32278" w:rsidP="004842B4">
            <w:pPr>
              <w:jc w:val="center"/>
            </w:pPr>
          </w:p>
        </w:tc>
      </w:tr>
      <w:tr w:rsidR="005665E2" w:rsidTr="00285264">
        <w:trPr>
          <w:jc w:val="center"/>
        </w:trPr>
        <w:tc>
          <w:tcPr>
            <w:tcW w:w="2216" w:type="pct"/>
          </w:tcPr>
          <w:p w:rsidR="005665E2" w:rsidRDefault="005665E2" w:rsidP="00285264">
            <w:r>
              <w:t>Weighted fraction</w:t>
            </w:r>
          </w:p>
        </w:tc>
        <w:tc>
          <w:tcPr>
            <w:tcW w:w="1081" w:type="pct"/>
          </w:tcPr>
          <w:p w:rsidR="005665E2" w:rsidRDefault="004513DD" w:rsidP="00285264">
            <w:pPr>
              <w:jc w:val="center"/>
            </w:pPr>
            <w:r>
              <w:t>0</w:t>
            </w:r>
            <w:r w:rsidR="005665E2">
              <w:t>.62</w:t>
            </w:r>
          </w:p>
        </w:tc>
        <w:tc>
          <w:tcPr>
            <w:tcW w:w="1138" w:type="pct"/>
          </w:tcPr>
          <w:p w:rsidR="005665E2" w:rsidRDefault="004513DD" w:rsidP="00285264">
            <w:pPr>
              <w:jc w:val="center"/>
            </w:pPr>
            <w:r>
              <w:t>0</w:t>
            </w:r>
            <w:r w:rsidR="005665E2">
              <w:t>.38</w:t>
            </w:r>
          </w:p>
        </w:tc>
        <w:tc>
          <w:tcPr>
            <w:tcW w:w="565" w:type="pct"/>
          </w:tcPr>
          <w:p w:rsidR="005665E2" w:rsidRDefault="005665E2" w:rsidP="00285264">
            <w:pPr>
              <w:jc w:val="center"/>
            </w:pPr>
          </w:p>
        </w:tc>
      </w:tr>
      <w:tr w:rsidR="00C32278" w:rsidTr="00C32278">
        <w:trPr>
          <w:jc w:val="center"/>
        </w:trPr>
        <w:tc>
          <w:tcPr>
            <w:tcW w:w="2216" w:type="pct"/>
          </w:tcPr>
          <w:p w:rsidR="00C32278" w:rsidRDefault="00C32278" w:rsidP="00C267A6"/>
        </w:tc>
        <w:tc>
          <w:tcPr>
            <w:tcW w:w="1081" w:type="pct"/>
          </w:tcPr>
          <w:p w:rsidR="00C32278" w:rsidRDefault="00C32278" w:rsidP="004842B4">
            <w:pPr>
              <w:jc w:val="center"/>
            </w:pPr>
          </w:p>
        </w:tc>
        <w:tc>
          <w:tcPr>
            <w:tcW w:w="1138" w:type="pct"/>
          </w:tcPr>
          <w:p w:rsidR="00C32278" w:rsidRDefault="00C32278" w:rsidP="004842B4">
            <w:pPr>
              <w:jc w:val="center"/>
            </w:pPr>
          </w:p>
        </w:tc>
        <w:tc>
          <w:tcPr>
            <w:tcW w:w="565" w:type="pct"/>
          </w:tcPr>
          <w:p w:rsidR="00C32278" w:rsidRDefault="00C32278" w:rsidP="004842B4">
            <w:pPr>
              <w:jc w:val="center"/>
            </w:pPr>
          </w:p>
        </w:tc>
      </w:tr>
      <w:tr w:rsidR="00C32278" w:rsidTr="00C32278">
        <w:trPr>
          <w:jc w:val="center"/>
        </w:trPr>
        <w:tc>
          <w:tcPr>
            <w:tcW w:w="2216" w:type="pct"/>
          </w:tcPr>
          <w:p w:rsidR="00C32278" w:rsidRPr="00CF737E" w:rsidRDefault="00C32278" w:rsidP="00C267A6">
            <w:pPr>
              <w:rPr>
                <w:u w:val="single"/>
              </w:rPr>
            </w:pPr>
            <w:r>
              <w:rPr>
                <w:u w:val="single"/>
              </w:rPr>
              <w:t>Student characteristics</w:t>
            </w:r>
          </w:p>
        </w:tc>
        <w:tc>
          <w:tcPr>
            <w:tcW w:w="1081" w:type="pct"/>
          </w:tcPr>
          <w:p w:rsidR="00C32278" w:rsidRDefault="00C32278" w:rsidP="004842B4">
            <w:pPr>
              <w:jc w:val="center"/>
            </w:pPr>
          </w:p>
        </w:tc>
        <w:tc>
          <w:tcPr>
            <w:tcW w:w="1138" w:type="pct"/>
          </w:tcPr>
          <w:p w:rsidR="00C32278" w:rsidRDefault="00C32278" w:rsidP="004842B4">
            <w:pPr>
              <w:jc w:val="center"/>
            </w:pPr>
          </w:p>
        </w:tc>
        <w:tc>
          <w:tcPr>
            <w:tcW w:w="565" w:type="pct"/>
          </w:tcPr>
          <w:p w:rsidR="00C32278" w:rsidRDefault="00C32278" w:rsidP="004842B4">
            <w:pPr>
              <w:jc w:val="center"/>
            </w:pPr>
          </w:p>
        </w:tc>
      </w:tr>
      <w:tr w:rsidR="00C32278" w:rsidTr="00C32278">
        <w:trPr>
          <w:jc w:val="center"/>
        </w:trPr>
        <w:tc>
          <w:tcPr>
            <w:tcW w:w="2216" w:type="pct"/>
          </w:tcPr>
          <w:p w:rsidR="00C32278" w:rsidRDefault="00C32278" w:rsidP="00C267A6">
            <w:r>
              <w:t>Male</w:t>
            </w:r>
          </w:p>
        </w:tc>
        <w:tc>
          <w:tcPr>
            <w:tcW w:w="1081" w:type="pct"/>
          </w:tcPr>
          <w:p w:rsidR="00C32278" w:rsidRDefault="004513DD" w:rsidP="004842B4">
            <w:pPr>
              <w:jc w:val="center"/>
            </w:pPr>
            <w:r>
              <w:t>0</w:t>
            </w:r>
            <w:r w:rsidR="00C32278">
              <w:t>.46</w:t>
            </w:r>
          </w:p>
        </w:tc>
        <w:tc>
          <w:tcPr>
            <w:tcW w:w="1138" w:type="pct"/>
          </w:tcPr>
          <w:p w:rsidR="00C32278" w:rsidRDefault="004513DD" w:rsidP="004842B4">
            <w:pPr>
              <w:jc w:val="center"/>
            </w:pPr>
            <w:r>
              <w:t>0</w:t>
            </w:r>
            <w:r w:rsidR="00C32278">
              <w:t>.58</w:t>
            </w:r>
          </w:p>
        </w:tc>
        <w:tc>
          <w:tcPr>
            <w:tcW w:w="565" w:type="pct"/>
          </w:tcPr>
          <w:p w:rsidR="00C32278" w:rsidRDefault="005665E2" w:rsidP="004842B4">
            <w:pPr>
              <w:jc w:val="center"/>
            </w:pPr>
            <w:r>
              <w:t>***</w:t>
            </w:r>
          </w:p>
        </w:tc>
      </w:tr>
      <w:tr w:rsidR="00C32278" w:rsidTr="00C32278">
        <w:trPr>
          <w:jc w:val="center"/>
        </w:trPr>
        <w:tc>
          <w:tcPr>
            <w:tcW w:w="2216" w:type="pct"/>
          </w:tcPr>
          <w:p w:rsidR="00C32278" w:rsidRDefault="00C32278" w:rsidP="00C267A6"/>
        </w:tc>
        <w:tc>
          <w:tcPr>
            <w:tcW w:w="1081" w:type="pct"/>
          </w:tcPr>
          <w:p w:rsidR="00C32278" w:rsidRDefault="00C32278" w:rsidP="004842B4">
            <w:pPr>
              <w:jc w:val="center"/>
            </w:pPr>
          </w:p>
        </w:tc>
        <w:tc>
          <w:tcPr>
            <w:tcW w:w="1138" w:type="pct"/>
          </w:tcPr>
          <w:p w:rsidR="00C32278" w:rsidRDefault="00C32278" w:rsidP="004842B4">
            <w:pPr>
              <w:jc w:val="center"/>
            </w:pPr>
          </w:p>
        </w:tc>
        <w:tc>
          <w:tcPr>
            <w:tcW w:w="565" w:type="pct"/>
          </w:tcPr>
          <w:p w:rsidR="00C32278" w:rsidRDefault="00C32278" w:rsidP="004842B4">
            <w:pPr>
              <w:jc w:val="center"/>
            </w:pPr>
          </w:p>
        </w:tc>
      </w:tr>
      <w:tr w:rsidR="00C32278" w:rsidTr="00C32278">
        <w:trPr>
          <w:jc w:val="center"/>
        </w:trPr>
        <w:tc>
          <w:tcPr>
            <w:tcW w:w="2216" w:type="pct"/>
          </w:tcPr>
          <w:p w:rsidR="00C32278" w:rsidRPr="00CD0A69" w:rsidRDefault="00C32278" w:rsidP="00C267A6">
            <w:pPr>
              <w:rPr>
                <w:u w:val="single"/>
              </w:rPr>
            </w:pPr>
            <w:r>
              <w:rPr>
                <w:u w:val="single"/>
              </w:rPr>
              <w:t>Parent characteristics</w:t>
            </w:r>
          </w:p>
        </w:tc>
        <w:tc>
          <w:tcPr>
            <w:tcW w:w="1081" w:type="pct"/>
          </w:tcPr>
          <w:p w:rsidR="00C32278" w:rsidRDefault="00C32278" w:rsidP="004842B4">
            <w:pPr>
              <w:jc w:val="center"/>
            </w:pPr>
          </w:p>
        </w:tc>
        <w:tc>
          <w:tcPr>
            <w:tcW w:w="1138" w:type="pct"/>
          </w:tcPr>
          <w:p w:rsidR="00C32278" w:rsidRDefault="00C32278" w:rsidP="004842B4">
            <w:pPr>
              <w:jc w:val="center"/>
            </w:pPr>
          </w:p>
        </w:tc>
        <w:tc>
          <w:tcPr>
            <w:tcW w:w="565" w:type="pct"/>
          </w:tcPr>
          <w:p w:rsidR="00C32278" w:rsidRDefault="00C32278" w:rsidP="004842B4">
            <w:pPr>
              <w:jc w:val="center"/>
            </w:pPr>
          </w:p>
        </w:tc>
      </w:tr>
      <w:tr w:rsidR="00C32278" w:rsidTr="00C32278">
        <w:trPr>
          <w:jc w:val="center"/>
        </w:trPr>
        <w:tc>
          <w:tcPr>
            <w:tcW w:w="2216" w:type="pct"/>
          </w:tcPr>
          <w:p w:rsidR="00C32278" w:rsidRDefault="00C32278" w:rsidP="00C267A6">
            <w:r>
              <w:t>Married HH</w:t>
            </w:r>
          </w:p>
        </w:tc>
        <w:tc>
          <w:tcPr>
            <w:tcW w:w="1081" w:type="pct"/>
          </w:tcPr>
          <w:p w:rsidR="00C32278" w:rsidRDefault="004513DD" w:rsidP="004842B4">
            <w:pPr>
              <w:jc w:val="center"/>
            </w:pPr>
            <w:r>
              <w:t>0</w:t>
            </w:r>
            <w:r w:rsidR="00C32278">
              <w:t>.79</w:t>
            </w:r>
          </w:p>
        </w:tc>
        <w:tc>
          <w:tcPr>
            <w:tcW w:w="1138" w:type="pct"/>
          </w:tcPr>
          <w:p w:rsidR="00C32278" w:rsidRDefault="004513DD" w:rsidP="004842B4">
            <w:pPr>
              <w:jc w:val="center"/>
            </w:pPr>
            <w:r>
              <w:t>0</w:t>
            </w:r>
            <w:r w:rsidR="00C32278">
              <w:t>.68</w:t>
            </w:r>
          </w:p>
        </w:tc>
        <w:tc>
          <w:tcPr>
            <w:tcW w:w="565" w:type="pct"/>
          </w:tcPr>
          <w:p w:rsidR="00C32278" w:rsidRDefault="005665E2" w:rsidP="004842B4">
            <w:pPr>
              <w:jc w:val="center"/>
            </w:pPr>
            <w:r>
              <w:t>***</w:t>
            </w:r>
          </w:p>
        </w:tc>
      </w:tr>
      <w:tr w:rsidR="00C32278" w:rsidTr="00C32278">
        <w:trPr>
          <w:jc w:val="center"/>
        </w:trPr>
        <w:tc>
          <w:tcPr>
            <w:tcW w:w="2216" w:type="pct"/>
          </w:tcPr>
          <w:p w:rsidR="00C32278" w:rsidRDefault="00C32278" w:rsidP="00C267A6">
            <w:r>
              <w:t>Single Female HH</w:t>
            </w:r>
          </w:p>
        </w:tc>
        <w:tc>
          <w:tcPr>
            <w:tcW w:w="1081" w:type="pct"/>
          </w:tcPr>
          <w:p w:rsidR="00C32278" w:rsidRDefault="004513DD" w:rsidP="004842B4">
            <w:pPr>
              <w:jc w:val="center"/>
            </w:pPr>
            <w:r>
              <w:t>0</w:t>
            </w:r>
            <w:r w:rsidR="00C32278">
              <w:t>.12</w:t>
            </w:r>
          </w:p>
        </w:tc>
        <w:tc>
          <w:tcPr>
            <w:tcW w:w="1138" w:type="pct"/>
          </w:tcPr>
          <w:p w:rsidR="00C32278" w:rsidRDefault="004513DD" w:rsidP="004842B4">
            <w:pPr>
              <w:jc w:val="center"/>
            </w:pPr>
            <w:r>
              <w:t>0</w:t>
            </w:r>
            <w:r w:rsidR="00C32278">
              <w:t>.18</w:t>
            </w:r>
          </w:p>
        </w:tc>
        <w:tc>
          <w:tcPr>
            <w:tcW w:w="565" w:type="pct"/>
          </w:tcPr>
          <w:p w:rsidR="00C32278" w:rsidRDefault="005665E2" w:rsidP="004842B4">
            <w:pPr>
              <w:jc w:val="center"/>
            </w:pPr>
            <w:r>
              <w:t>***</w:t>
            </w:r>
          </w:p>
        </w:tc>
      </w:tr>
      <w:tr w:rsidR="00C32278" w:rsidTr="00C32278">
        <w:trPr>
          <w:jc w:val="center"/>
        </w:trPr>
        <w:tc>
          <w:tcPr>
            <w:tcW w:w="2216" w:type="pct"/>
          </w:tcPr>
          <w:p w:rsidR="00C32278" w:rsidRDefault="00C32278" w:rsidP="00CD71D7">
            <w:r>
              <w:t>Head age</w:t>
            </w:r>
          </w:p>
        </w:tc>
        <w:tc>
          <w:tcPr>
            <w:tcW w:w="1081" w:type="pct"/>
          </w:tcPr>
          <w:p w:rsidR="00C32278" w:rsidRDefault="00C32278" w:rsidP="004842B4">
            <w:pPr>
              <w:jc w:val="center"/>
            </w:pPr>
            <w:r>
              <w:t>54.6</w:t>
            </w:r>
          </w:p>
        </w:tc>
        <w:tc>
          <w:tcPr>
            <w:tcW w:w="1138" w:type="pct"/>
          </w:tcPr>
          <w:p w:rsidR="00C32278" w:rsidRDefault="00C32278" w:rsidP="004842B4">
            <w:pPr>
              <w:jc w:val="center"/>
            </w:pPr>
            <w:r>
              <w:t>54.6</w:t>
            </w:r>
          </w:p>
        </w:tc>
        <w:tc>
          <w:tcPr>
            <w:tcW w:w="565" w:type="pct"/>
          </w:tcPr>
          <w:p w:rsidR="00C32278" w:rsidRDefault="00C32278" w:rsidP="004842B4">
            <w:pPr>
              <w:jc w:val="center"/>
            </w:pPr>
          </w:p>
        </w:tc>
      </w:tr>
      <w:tr w:rsidR="00C32278" w:rsidTr="00C32278">
        <w:trPr>
          <w:jc w:val="center"/>
        </w:trPr>
        <w:tc>
          <w:tcPr>
            <w:tcW w:w="2216" w:type="pct"/>
          </w:tcPr>
          <w:p w:rsidR="00C32278" w:rsidRDefault="00C32278" w:rsidP="00CD71D7">
            <w:r>
              <w:t>Head education</w:t>
            </w:r>
          </w:p>
        </w:tc>
        <w:tc>
          <w:tcPr>
            <w:tcW w:w="1081" w:type="pct"/>
          </w:tcPr>
          <w:p w:rsidR="00C32278" w:rsidRDefault="00C32278" w:rsidP="004842B4">
            <w:pPr>
              <w:jc w:val="center"/>
            </w:pPr>
            <w:r>
              <w:t>14.2</w:t>
            </w:r>
          </w:p>
        </w:tc>
        <w:tc>
          <w:tcPr>
            <w:tcW w:w="1138" w:type="pct"/>
          </w:tcPr>
          <w:p w:rsidR="00C32278" w:rsidRDefault="00C32278" w:rsidP="004842B4">
            <w:pPr>
              <w:jc w:val="center"/>
            </w:pPr>
            <w:r>
              <w:t>11.3</w:t>
            </w:r>
          </w:p>
        </w:tc>
        <w:tc>
          <w:tcPr>
            <w:tcW w:w="565" w:type="pct"/>
          </w:tcPr>
          <w:p w:rsidR="00C32278" w:rsidRDefault="005665E2" w:rsidP="004842B4">
            <w:pPr>
              <w:jc w:val="center"/>
            </w:pPr>
            <w:r>
              <w:t>***</w:t>
            </w:r>
          </w:p>
        </w:tc>
      </w:tr>
      <w:tr w:rsidR="00C32278" w:rsidTr="00C32278">
        <w:trPr>
          <w:jc w:val="center"/>
        </w:trPr>
        <w:tc>
          <w:tcPr>
            <w:tcW w:w="2216" w:type="pct"/>
          </w:tcPr>
          <w:p w:rsidR="00C32278" w:rsidRDefault="00C32278" w:rsidP="003F3D66">
            <w:r>
              <w:t>Head black</w:t>
            </w:r>
          </w:p>
        </w:tc>
        <w:tc>
          <w:tcPr>
            <w:tcW w:w="1081" w:type="pct"/>
          </w:tcPr>
          <w:p w:rsidR="00C32278" w:rsidRDefault="004513DD" w:rsidP="004842B4">
            <w:pPr>
              <w:jc w:val="center"/>
            </w:pPr>
            <w:r>
              <w:t>0</w:t>
            </w:r>
            <w:r w:rsidR="00C32278">
              <w:t>.10</w:t>
            </w:r>
          </w:p>
        </w:tc>
        <w:tc>
          <w:tcPr>
            <w:tcW w:w="1138" w:type="pct"/>
          </w:tcPr>
          <w:p w:rsidR="00C32278" w:rsidRDefault="004513DD" w:rsidP="004842B4">
            <w:pPr>
              <w:jc w:val="center"/>
            </w:pPr>
            <w:r>
              <w:t>0</w:t>
            </w:r>
            <w:r w:rsidR="00C32278">
              <w:t>.16</w:t>
            </w:r>
          </w:p>
        </w:tc>
        <w:tc>
          <w:tcPr>
            <w:tcW w:w="565" w:type="pct"/>
          </w:tcPr>
          <w:p w:rsidR="00C32278" w:rsidRDefault="005665E2" w:rsidP="004842B4">
            <w:pPr>
              <w:jc w:val="center"/>
            </w:pPr>
            <w:r>
              <w:t>***</w:t>
            </w:r>
          </w:p>
        </w:tc>
      </w:tr>
      <w:tr w:rsidR="00C32278" w:rsidTr="00C32278">
        <w:trPr>
          <w:jc w:val="center"/>
        </w:trPr>
        <w:tc>
          <w:tcPr>
            <w:tcW w:w="2216" w:type="pct"/>
          </w:tcPr>
          <w:p w:rsidR="00C32278" w:rsidRDefault="00C32278" w:rsidP="00C267A6">
            <w:r>
              <w:t>Head Hispanic</w:t>
            </w:r>
          </w:p>
        </w:tc>
        <w:tc>
          <w:tcPr>
            <w:tcW w:w="1081" w:type="pct"/>
          </w:tcPr>
          <w:p w:rsidR="00C32278" w:rsidRDefault="004513DD" w:rsidP="004842B4">
            <w:pPr>
              <w:jc w:val="center"/>
            </w:pPr>
            <w:r>
              <w:t>0</w:t>
            </w:r>
            <w:r w:rsidR="00C32278">
              <w:t>.08</w:t>
            </w:r>
          </w:p>
        </w:tc>
        <w:tc>
          <w:tcPr>
            <w:tcW w:w="1138" w:type="pct"/>
          </w:tcPr>
          <w:p w:rsidR="00C32278" w:rsidRDefault="004513DD" w:rsidP="004842B4">
            <w:pPr>
              <w:jc w:val="center"/>
            </w:pPr>
            <w:r>
              <w:t>0</w:t>
            </w:r>
            <w:r w:rsidR="00C32278">
              <w:t>.15</w:t>
            </w:r>
          </w:p>
        </w:tc>
        <w:tc>
          <w:tcPr>
            <w:tcW w:w="565" w:type="pct"/>
          </w:tcPr>
          <w:p w:rsidR="00C32278" w:rsidRDefault="005665E2" w:rsidP="004842B4">
            <w:pPr>
              <w:jc w:val="center"/>
            </w:pPr>
            <w:r>
              <w:t>***</w:t>
            </w:r>
          </w:p>
        </w:tc>
      </w:tr>
      <w:tr w:rsidR="00C32278" w:rsidTr="00C32278">
        <w:trPr>
          <w:jc w:val="center"/>
        </w:trPr>
        <w:tc>
          <w:tcPr>
            <w:tcW w:w="2216" w:type="pct"/>
          </w:tcPr>
          <w:p w:rsidR="00C32278" w:rsidRDefault="00C32278" w:rsidP="00C267A6">
            <w:r>
              <w:t>Income</w:t>
            </w:r>
          </w:p>
        </w:tc>
        <w:tc>
          <w:tcPr>
            <w:tcW w:w="1081" w:type="pct"/>
          </w:tcPr>
          <w:p w:rsidR="00C32278" w:rsidRDefault="00C32278" w:rsidP="004842B4">
            <w:pPr>
              <w:jc w:val="center"/>
            </w:pPr>
          </w:p>
        </w:tc>
        <w:tc>
          <w:tcPr>
            <w:tcW w:w="1138" w:type="pct"/>
          </w:tcPr>
          <w:p w:rsidR="00C32278" w:rsidRDefault="00C32278" w:rsidP="004842B4">
            <w:pPr>
              <w:jc w:val="center"/>
            </w:pPr>
          </w:p>
        </w:tc>
        <w:tc>
          <w:tcPr>
            <w:tcW w:w="565" w:type="pct"/>
          </w:tcPr>
          <w:p w:rsidR="00C32278" w:rsidRDefault="00C32278" w:rsidP="004842B4">
            <w:pPr>
              <w:jc w:val="center"/>
            </w:pPr>
          </w:p>
        </w:tc>
      </w:tr>
      <w:tr w:rsidR="00C32278" w:rsidTr="00C32278">
        <w:trPr>
          <w:jc w:val="center"/>
        </w:trPr>
        <w:tc>
          <w:tcPr>
            <w:tcW w:w="2216" w:type="pct"/>
          </w:tcPr>
          <w:p w:rsidR="00C32278" w:rsidRDefault="00C32278" w:rsidP="00C267A6">
            <w:r>
              <w:t xml:space="preserve">    25</w:t>
            </w:r>
            <w:r w:rsidRPr="002827B5">
              <w:rPr>
                <w:vertAlign w:val="superscript"/>
              </w:rPr>
              <w:t>th</w:t>
            </w:r>
            <w:r>
              <w:t xml:space="preserve"> </w:t>
            </w:r>
          </w:p>
        </w:tc>
        <w:tc>
          <w:tcPr>
            <w:tcW w:w="1081" w:type="pct"/>
          </w:tcPr>
          <w:p w:rsidR="00C32278" w:rsidRDefault="00C32278" w:rsidP="004842B4">
            <w:pPr>
              <w:jc w:val="center"/>
            </w:pPr>
            <w:r>
              <w:t>47,564</w:t>
            </w:r>
          </w:p>
        </w:tc>
        <w:tc>
          <w:tcPr>
            <w:tcW w:w="1138" w:type="pct"/>
          </w:tcPr>
          <w:p w:rsidR="00C32278" w:rsidRDefault="00C32278" w:rsidP="004842B4">
            <w:pPr>
              <w:jc w:val="center"/>
            </w:pPr>
            <w:r>
              <w:t>19,108</w:t>
            </w:r>
          </w:p>
        </w:tc>
        <w:tc>
          <w:tcPr>
            <w:tcW w:w="565" w:type="pct"/>
          </w:tcPr>
          <w:p w:rsidR="00C32278" w:rsidRDefault="00B95C61" w:rsidP="004842B4">
            <w:pPr>
              <w:jc w:val="center"/>
            </w:pPr>
            <w:r>
              <w:t>***</w:t>
            </w:r>
          </w:p>
        </w:tc>
      </w:tr>
      <w:tr w:rsidR="00C32278" w:rsidTr="00C32278">
        <w:trPr>
          <w:jc w:val="center"/>
        </w:trPr>
        <w:tc>
          <w:tcPr>
            <w:tcW w:w="2216" w:type="pct"/>
          </w:tcPr>
          <w:p w:rsidR="00C32278" w:rsidRDefault="00C32278" w:rsidP="00C267A6">
            <w:r>
              <w:t xml:space="preserve">    Median</w:t>
            </w:r>
          </w:p>
        </w:tc>
        <w:tc>
          <w:tcPr>
            <w:tcW w:w="1081" w:type="pct"/>
          </w:tcPr>
          <w:p w:rsidR="00C32278" w:rsidRDefault="00C32278" w:rsidP="004842B4">
            <w:pPr>
              <w:jc w:val="center"/>
            </w:pPr>
            <w:r>
              <w:t>87,478</w:t>
            </w:r>
          </w:p>
        </w:tc>
        <w:tc>
          <w:tcPr>
            <w:tcW w:w="1138" w:type="pct"/>
          </w:tcPr>
          <w:p w:rsidR="00C32278" w:rsidRDefault="00C32278" w:rsidP="004842B4">
            <w:pPr>
              <w:jc w:val="center"/>
            </w:pPr>
            <w:r>
              <w:t>41,475</w:t>
            </w:r>
          </w:p>
        </w:tc>
        <w:tc>
          <w:tcPr>
            <w:tcW w:w="565" w:type="pct"/>
          </w:tcPr>
          <w:p w:rsidR="00C32278" w:rsidRDefault="00B95C61" w:rsidP="004842B4">
            <w:pPr>
              <w:jc w:val="center"/>
            </w:pPr>
            <w:r>
              <w:t>***</w:t>
            </w:r>
          </w:p>
        </w:tc>
      </w:tr>
      <w:tr w:rsidR="00C32278" w:rsidTr="00C32278">
        <w:trPr>
          <w:jc w:val="center"/>
        </w:trPr>
        <w:tc>
          <w:tcPr>
            <w:tcW w:w="2216" w:type="pct"/>
          </w:tcPr>
          <w:p w:rsidR="00C32278" w:rsidRDefault="00C32278" w:rsidP="00C267A6">
            <w:r>
              <w:t xml:space="preserve">    75</w:t>
            </w:r>
            <w:r w:rsidRPr="002827B5">
              <w:rPr>
                <w:vertAlign w:val="superscript"/>
              </w:rPr>
              <w:t>th</w:t>
            </w:r>
            <w:r>
              <w:t xml:space="preserve"> </w:t>
            </w:r>
          </w:p>
        </w:tc>
        <w:tc>
          <w:tcPr>
            <w:tcW w:w="1081" w:type="pct"/>
          </w:tcPr>
          <w:p w:rsidR="00C32278" w:rsidRDefault="00C32278" w:rsidP="004842B4">
            <w:pPr>
              <w:jc w:val="center"/>
            </w:pPr>
            <w:r>
              <w:t>153,009</w:t>
            </w:r>
          </w:p>
        </w:tc>
        <w:tc>
          <w:tcPr>
            <w:tcW w:w="1138" w:type="pct"/>
          </w:tcPr>
          <w:p w:rsidR="00C32278" w:rsidRDefault="00C32278" w:rsidP="004842B4">
            <w:pPr>
              <w:jc w:val="center"/>
            </w:pPr>
            <w:r>
              <w:t>73,085</w:t>
            </w:r>
          </w:p>
        </w:tc>
        <w:tc>
          <w:tcPr>
            <w:tcW w:w="565" w:type="pct"/>
          </w:tcPr>
          <w:p w:rsidR="00C32278" w:rsidRDefault="00B95C61" w:rsidP="004842B4">
            <w:pPr>
              <w:jc w:val="center"/>
            </w:pPr>
            <w:r>
              <w:t>***</w:t>
            </w:r>
          </w:p>
        </w:tc>
      </w:tr>
      <w:tr w:rsidR="00C32278" w:rsidTr="00C32278">
        <w:trPr>
          <w:jc w:val="center"/>
        </w:trPr>
        <w:tc>
          <w:tcPr>
            <w:tcW w:w="2216" w:type="pct"/>
          </w:tcPr>
          <w:p w:rsidR="00C32278" w:rsidRDefault="00C32278" w:rsidP="00C32278">
            <w:r>
              <w:t>Total wealth</w:t>
            </w:r>
          </w:p>
        </w:tc>
        <w:tc>
          <w:tcPr>
            <w:tcW w:w="1081" w:type="pct"/>
          </w:tcPr>
          <w:p w:rsidR="00C32278" w:rsidRDefault="00C32278" w:rsidP="004842B4">
            <w:pPr>
              <w:jc w:val="center"/>
            </w:pPr>
          </w:p>
        </w:tc>
        <w:tc>
          <w:tcPr>
            <w:tcW w:w="1138" w:type="pct"/>
          </w:tcPr>
          <w:p w:rsidR="00C32278" w:rsidRDefault="00C32278" w:rsidP="004842B4">
            <w:pPr>
              <w:jc w:val="center"/>
            </w:pPr>
          </w:p>
        </w:tc>
        <w:tc>
          <w:tcPr>
            <w:tcW w:w="565" w:type="pct"/>
          </w:tcPr>
          <w:p w:rsidR="00C32278" w:rsidRDefault="00C32278" w:rsidP="004842B4">
            <w:pPr>
              <w:jc w:val="center"/>
            </w:pPr>
          </w:p>
        </w:tc>
      </w:tr>
      <w:tr w:rsidR="00C32278" w:rsidTr="00C32278">
        <w:trPr>
          <w:jc w:val="center"/>
        </w:trPr>
        <w:tc>
          <w:tcPr>
            <w:tcW w:w="2216" w:type="pct"/>
          </w:tcPr>
          <w:p w:rsidR="00C32278" w:rsidRDefault="00C32278" w:rsidP="00C267A6">
            <w:r>
              <w:t xml:space="preserve">    25</w:t>
            </w:r>
            <w:r w:rsidRPr="002827B5">
              <w:rPr>
                <w:vertAlign w:val="superscript"/>
              </w:rPr>
              <w:t>th</w:t>
            </w:r>
            <w:r>
              <w:t xml:space="preserve"> </w:t>
            </w:r>
          </w:p>
        </w:tc>
        <w:tc>
          <w:tcPr>
            <w:tcW w:w="1081" w:type="pct"/>
          </w:tcPr>
          <w:p w:rsidR="00C32278" w:rsidRDefault="00C32278" w:rsidP="004842B4">
            <w:pPr>
              <w:jc w:val="center"/>
            </w:pPr>
            <w:r>
              <w:t>79,587</w:t>
            </w:r>
          </w:p>
        </w:tc>
        <w:tc>
          <w:tcPr>
            <w:tcW w:w="1138" w:type="pct"/>
          </w:tcPr>
          <w:p w:rsidR="00C32278" w:rsidRDefault="00C32278" w:rsidP="004842B4">
            <w:pPr>
              <w:jc w:val="center"/>
            </w:pPr>
            <w:r>
              <w:t>6,329</w:t>
            </w:r>
          </w:p>
        </w:tc>
        <w:tc>
          <w:tcPr>
            <w:tcW w:w="565" w:type="pct"/>
          </w:tcPr>
          <w:p w:rsidR="00C32278" w:rsidRDefault="00B95C61" w:rsidP="004842B4">
            <w:pPr>
              <w:jc w:val="center"/>
            </w:pPr>
            <w:r>
              <w:t>***</w:t>
            </w:r>
          </w:p>
        </w:tc>
      </w:tr>
      <w:tr w:rsidR="00C32278" w:rsidTr="00C32278">
        <w:trPr>
          <w:jc w:val="center"/>
        </w:trPr>
        <w:tc>
          <w:tcPr>
            <w:tcW w:w="2216" w:type="pct"/>
          </w:tcPr>
          <w:p w:rsidR="00C32278" w:rsidRDefault="00C32278" w:rsidP="00C267A6">
            <w:r>
              <w:t xml:space="preserve">    Median</w:t>
            </w:r>
          </w:p>
        </w:tc>
        <w:tc>
          <w:tcPr>
            <w:tcW w:w="1081" w:type="pct"/>
          </w:tcPr>
          <w:p w:rsidR="00C32278" w:rsidRDefault="00C32278" w:rsidP="004842B4">
            <w:pPr>
              <w:jc w:val="center"/>
            </w:pPr>
            <w:r>
              <w:t>224,133</w:t>
            </w:r>
          </w:p>
        </w:tc>
        <w:tc>
          <w:tcPr>
            <w:tcW w:w="1138" w:type="pct"/>
          </w:tcPr>
          <w:p w:rsidR="00C32278" w:rsidRDefault="00C32278" w:rsidP="004842B4">
            <w:pPr>
              <w:jc w:val="center"/>
            </w:pPr>
            <w:r>
              <w:t>56,052</w:t>
            </w:r>
          </w:p>
        </w:tc>
        <w:tc>
          <w:tcPr>
            <w:tcW w:w="565" w:type="pct"/>
          </w:tcPr>
          <w:p w:rsidR="00C32278" w:rsidRDefault="00B95C61" w:rsidP="004842B4">
            <w:pPr>
              <w:jc w:val="center"/>
            </w:pPr>
            <w:r>
              <w:t>***</w:t>
            </w:r>
          </w:p>
        </w:tc>
      </w:tr>
      <w:tr w:rsidR="00C32278" w:rsidTr="00C32278">
        <w:trPr>
          <w:jc w:val="center"/>
        </w:trPr>
        <w:tc>
          <w:tcPr>
            <w:tcW w:w="2216" w:type="pct"/>
          </w:tcPr>
          <w:p w:rsidR="00C32278" w:rsidRDefault="00C32278" w:rsidP="00C267A6">
            <w:r>
              <w:t xml:space="preserve">    75</w:t>
            </w:r>
            <w:r w:rsidRPr="002827B5">
              <w:rPr>
                <w:vertAlign w:val="superscript"/>
              </w:rPr>
              <w:t>th</w:t>
            </w:r>
            <w:r>
              <w:t xml:space="preserve"> </w:t>
            </w:r>
          </w:p>
        </w:tc>
        <w:tc>
          <w:tcPr>
            <w:tcW w:w="1081" w:type="pct"/>
          </w:tcPr>
          <w:p w:rsidR="00C32278" w:rsidRDefault="00C32278" w:rsidP="004842B4">
            <w:pPr>
              <w:jc w:val="center"/>
            </w:pPr>
            <w:r>
              <w:t>495,524</w:t>
            </w:r>
          </w:p>
        </w:tc>
        <w:tc>
          <w:tcPr>
            <w:tcW w:w="1138" w:type="pct"/>
          </w:tcPr>
          <w:p w:rsidR="00C32278" w:rsidRDefault="00C32278" w:rsidP="004842B4">
            <w:pPr>
              <w:jc w:val="center"/>
            </w:pPr>
            <w:r>
              <w:t>169,147</w:t>
            </w:r>
          </w:p>
        </w:tc>
        <w:tc>
          <w:tcPr>
            <w:tcW w:w="565" w:type="pct"/>
          </w:tcPr>
          <w:p w:rsidR="00C32278" w:rsidRDefault="00B95C61" w:rsidP="004842B4">
            <w:pPr>
              <w:jc w:val="center"/>
            </w:pPr>
            <w:r>
              <w:t>***</w:t>
            </w:r>
          </w:p>
        </w:tc>
      </w:tr>
      <w:tr w:rsidR="00C32278" w:rsidTr="00C32278">
        <w:trPr>
          <w:jc w:val="center"/>
        </w:trPr>
        <w:tc>
          <w:tcPr>
            <w:tcW w:w="2216" w:type="pct"/>
          </w:tcPr>
          <w:p w:rsidR="00C32278" w:rsidRDefault="00C32278" w:rsidP="00C32278">
            <w:r>
              <w:t>Non-housing wealth</w:t>
            </w:r>
          </w:p>
        </w:tc>
        <w:tc>
          <w:tcPr>
            <w:tcW w:w="1081" w:type="pct"/>
          </w:tcPr>
          <w:p w:rsidR="00C32278" w:rsidRDefault="00C32278" w:rsidP="004842B4">
            <w:pPr>
              <w:jc w:val="center"/>
            </w:pPr>
          </w:p>
        </w:tc>
        <w:tc>
          <w:tcPr>
            <w:tcW w:w="1138" w:type="pct"/>
          </w:tcPr>
          <w:p w:rsidR="00C32278" w:rsidRDefault="00C32278" w:rsidP="004842B4">
            <w:pPr>
              <w:jc w:val="center"/>
            </w:pPr>
          </w:p>
        </w:tc>
        <w:tc>
          <w:tcPr>
            <w:tcW w:w="565" w:type="pct"/>
          </w:tcPr>
          <w:p w:rsidR="00C32278" w:rsidRDefault="00C32278" w:rsidP="004842B4">
            <w:pPr>
              <w:jc w:val="center"/>
            </w:pPr>
          </w:p>
        </w:tc>
      </w:tr>
      <w:tr w:rsidR="00C32278" w:rsidTr="00C32278">
        <w:trPr>
          <w:jc w:val="center"/>
        </w:trPr>
        <w:tc>
          <w:tcPr>
            <w:tcW w:w="2216" w:type="pct"/>
          </w:tcPr>
          <w:p w:rsidR="00C32278" w:rsidRDefault="00C32278" w:rsidP="00C267A6">
            <w:r>
              <w:t xml:space="preserve">    25</w:t>
            </w:r>
            <w:r w:rsidRPr="002827B5">
              <w:rPr>
                <w:vertAlign w:val="superscript"/>
              </w:rPr>
              <w:t>th</w:t>
            </w:r>
            <w:r>
              <w:t xml:space="preserve"> </w:t>
            </w:r>
          </w:p>
        </w:tc>
        <w:tc>
          <w:tcPr>
            <w:tcW w:w="1081" w:type="pct"/>
          </w:tcPr>
          <w:p w:rsidR="00C32278" w:rsidRDefault="00C32278" w:rsidP="004842B4">
            <w:pPr>
              <w:jc w:val="center"/>
            </w:pPr>
            <w:r>
              <w:t>16,814</w:t>
            </w:r>
          </w:p>
        </w:tc>
        <w:tc>
          <w:tcPr>
            <w:tcW w:w="1138" w:type="pct"/>
          </w:tcPr>
          <w:p w:rsidR="00C32278" w:rsidRDefault="00C32278" w:rsidP="004842B4">
            <w:pPr>
              <w:jc w:val="center"/>
            </w:pPr>
            <w:r>
              <w:t>972</w:t>
            </w:r>
          </w:p>
        </w:tc>
        <w:tc>
          <w:tcPr>
            <w:tcW w:w="565" w:type="pct"/>
          </w:tcPr>
          <w:p w:rsidR="00C32278" w:rsidRDefault="00B95C61" w:rsidP="004842B4">
            <w:pPr>
              <w:jc w:val="center"/>
            </w:pPr>
            <w:r>
              <w:t>***</w:t>
            </w:r>
          </w:p>
        </w:tc>
      </w:tr>
      <w:tr w:rsidR="00C32278" w:rsidTr="00C32278">
        <w:trPr>
          <w:jc w:val="center"/>
        </w:trPr>
        <w:tc>
          <w:tcPr>
            <w:tcW w:w="2216" w:type="pct"/>
          </w:tcPr>
          <w:p w:rsidR="00C32278" w:rsidRDefault="00C32278" w:rsidP="00C267A6">
            <w:r>
              <w:t xml:space="preserve">    Median</w:t>
            </w:r>
          </w:p>
        </w:tc>
        <w:tc>
          <w:tcPr>
            <w:tcW w:w="1081" w:type="pct"/>
          </w:tcPr>
          <w:p w:rsidR="00C32278" w:rsidRDefault="00C32278" w:rsidP="004842B4">
            <w:pPr>
              <w:jc w:val="center"/>
            </w:pPr>
            <w:r>
              <w:t>85,752</w:t>
            </w:r>
          </w:p>
        </w:tc>
        <w:tc>
          <w:tcPr>
            <w:tcW w:w="1138" w:type="pct"/>
          </w:tcPr>
          <w:p w:rsidR="00C32278" w:rsidRDefault="00C32278" w:rsidP="004842B4">
            <w:pPr>
              <w:jc w:val="center"/>
            </w:pPr>
            <w:r>
              <w:t>12,777</w:t>
            </w:r>
          </w:p>
        </w:tc>
        <w:tc>
          <w:tcPr>
            <w:tcW w:w="565" w:type="pct"/>
          </w:tcPr>
          <w:p w:rsidR="00C32278" w:rsidRDefault="00B95C61" w:rsidP="004842B4">
            <w:pPr>
              <w:jc w:val="center"/>
            </w:pPr>
            <w:r>
              <w:t>***</w:t>
            </w:r>
          </w:p>
        </w:tc>
      </w:tr>
      <w:tr w:rsidR="00C32278" w:rsidTr="00C32278">
        <w:trPr>
          <w:jc w:val="center"/>
        </w:trPr>
        <w:tc>
          <w:tcPr>
            <w:tcW w:w="2216" w:type="pct"/>
            <w:tcBorders>
              <w:bottom w:val="single" w:sz="4" w:space="0" w:color="auto"/>
            </w:tcBorders>
          </w:tcPr>
          <w:p w:rsidR="00C32278" w:rsidRDefault="00C32278" w:rsidP="00C267A6">
            <w:r>
              <w:t xml:space="preserve">    75</w:t>
            </w:r>
            <w:r w:rsidRPr="002827B5">
              <w:rPr>
                <w:vertAlign w:val="superscript"/>
              </w:rPr>
              <w:t>th</w:t>
            </w:r>
            <w:r>
              <w:t xml:space="preserve"> </w:t>
            </w:r>
          </w:p>
        </w:tc>
        <w:tc>
          <w:tcPr>
            <w:tcW w:w="1081" w:type="pct"/>
            <w:tcBorders>
              <w:bottom w:val="single" w:sz="4" w:space="0" w:color="auto"/>
            </w:tcBorders>
          </w:tcPr>
          <w:p w:rsidR="00C32278" w:rsidRDefault="00C32278" w:rsidP="004842B4">
            <w:pPr>
              <w:jc w:val="center"/>
            </w:pPr>
            <w:r>
              <w:t>313,864</w:t>
            </w:r>
          </w:p>
        </w:tc>
        <w:tc>
          <w:tcPr>
            <w:tcW w:w="1138" w:type="pct"/>
            <w:tcBorders>
              <w:bottom w:val="single" w:sz="4" w:space="0" w:color="auto"/>
            </w:tcBorders>
          </w:tcPr>
          <w:p w:rsidR="00C32278" w:rsidRDefault="00C32278" w:rsidP="004842B4">
            <w:pPr>
              <w:jc w:val="center"/>
            </w:pPr>
            <w:r>
              <w:t>67,942</w:t>
            </w:r>
          </w:p>
        </w:tc>
        <w:tc>
          <w:tcPr>
            <w:tcW w:w="565" w:type="pct"/>
            <w:tcBorders>
              <w:bottom w:val="single" w:sz="4" w:space="0" w:color="auto"/>
            </w:tcBorders>
          </w:tcPr>
          <w:p w:rsidR="00C32278" w:rsidRDefault="00B95C61" w:rsidP="004842B4">
            <w:pPr>
              <w:jc w:val="center"/>
            </w:pPr>
            <w:r>
              <w:t>***</w:t>
            </w:r>
          </w:p>
        </w:tc>
      </w:tr>
    </w:tbl>
    <w:p w:rsidR="00B46CC8" w:rsidRDefault="00214620" w:rsidP="00B46CC8">
      <w:r>
        <w:t>N</w:t>
      </w:r>
      <w:r w:rsidR="000F371B">
        <w:t>otes</w:t>
      </w:r>
      <w:r w:rsidR="00E97A58">
        <w:t>: The sample includes 19, 20, and 21 year olds in 1992, 1998, and 2004.  All dollar values are adjusted to 200</w:t>
      </w:r>
      <w:r w:rsidR="00D20860">
        <w:t>8</w:t>
      </w:r>
      <w:r w:rsidR="00E97A58">
        <w:t xml:space="preserve"> with the PCE. </w:t>
      </w:r>
      <w:r w:rsidR="007A65C0">
        <w:t xml:space="preserve"> </w:t>
      </w:r>
      <w:r w:rsidR="00074CE0">
        <w:t>All t</w:t>
      </w:r>
      <w:r w:rsidR="00E97A58">
        <w:t>abulations are weighted</w:t>
      </w:r>
      <w:r w:rsidR="004B30BD">
        <w:t xml:space="preserve"> by household weights</w:t>
      </w:r>
      <w:r w:rsidR="009A19A8">
        <w:t>.</w:t>
      </w:r>
      <w:r w:rsidR="00B14D0A">
        <w:t xml:space="preserve"> </w:t>
      </w:r>
      <w:r w:rsidR="00424DFC">
        <w:t xml:space="preserve"> </w:t>
      </w:r>
      <w:r w:rsidR="00B54FB8">
        <w:t>The “Diff.” column contains the significance level for a two-tailed test for whether the characteristics are different: * is .05, ** is .01, and *** is .001.</w:t>
      </w:r>
      <w:r w:rsidR="00B46CC8">
        <w:br w:type="page"/>
      </w:r>
    </w:p>
    <w:p w:rsidR="00292227" w:rsidRDefault="00292227" w:rsidP="00A769A7">
      <w:pPr>
        <w:jc w:val="center"/>
      </w:pPr>
      <w:r>
        <w:lastRenderedPageBreak/>
        <w:t xml:space="preserve">Table 3: </w:t>
      </w:r>
      <w:r w:rsidR="004D7D2F">
        <w:t>Regressions of</w:t>
      </w:r>
      <w:r>
        <w:t xml:space="preserve"> </w:t>
      </w:r>
      <w:r w:rsidR="00424DFC">
        <w:t>C</w:t>
      </w:r>
      <w:r>
        <w:t xml:space="preserve">ollege </w:t>
      </w:r>
      <w:r w:rsidR="00424DFC">
        <w:t>A</w:t>
      </w:r>
      <w:r>
        <w:t>ttendance</w:t>
      </w:r>
      <w:r w:rsidR="004D7D2F">
        <w:t xml:space="preserve"> on </w:t>
      </w:r>
      <w:r w:rsidR="00424DFC">
        <w:t>P</w:t>
      </w:r>
      <w:r w:rsidR="004D7D2F">
        <w:t xml:space="preserve">arental </w:t>
      </w:r>
      <w:r w:rsidR="00424DFC">
        <w:t>C</w:t>
      </w:r>
      <w:r w:rsidR="004D7D2F">
        <w:t>haracteristics</w:t>
      </w:r>
    </w:p>
    <w:p w:rsidR="00292227" w:rsidRDefault="00292227" w:rsidP="0029222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5"/>
        <w:gridCol w:w="963"/>
        <w:gridCol w:w="963"/>
        <w:gridCol w:w="967"/>
        <w:gridCol w:w="289"/>
        <w:gridCol w:w="1017"/>
        <w:gridCol w:w="1017"/>
        <w:gridCol w:w="1015"/>
      </w:tblGrid>
      <w:tr w:rsidR="00A1022F" w:rsidTr="00A1022F">
        <w:tc>
          <w:tcPr>
            <w:tcW w:w="1746" w:type="pct"/>
            <w:tcBorders>
              <w:top w:val="single" w:sz="4" w:space="0" w:color="auto"/>
            </w:tcBorders>
          </w:tcPr>
          <w:p w:rsidR="00A1022F" w:rsidRDefault="00A1022F" w:rsidP="00B328AB"/>
        </w:tc>
        <w:tc>
          <w:tcPr>
            <w:tcW w:w="1511" w:type="pct"/>
            <w:gridSpan w:val="3"/>
            <w:tcBorders>
              <w:top w:val="single" w:sz="4" w:space="0" w:color="auto"/>
              <w:bottom w:val="single" w:sz="4" w:space="0" w:color="auto"/>
            </w:tcBorders>
          </w:tcPr>
          <w:p w:rsidR="00A1022F" w:rsidRDefault="00A1022F" w:rsidP="00B328AB">
            <w:pPr>
              <w:jc w:val="center"/>
            </w:pPr>
            <w:r>
              <w:t>PSID</w:t>
            </w:r>
            <w:r w:rsidR="00275395">
              <w:t xml:space="preserve"> Full Sample</w:t>
            </w:r>
          </w:p>
        </w:tc>
        <w:tc>
          <w:tcPr>
            <w:tcW w:w="151" w:type="pct"/>
            <w:tcBorders>
              <w:top w:val="single" w:sz="4" w:space="0" w:color="auto"/>
            </w:tcBorders>
          </w:tcPr>
          <w:p w:rsidR="00A1022F" w:rsidRDefault="00A1022F" w:rsidP="00B328AB">
            <w:pPr>
              <w:jc w:val="center"/>
            </w:pPr>
          </w:p>
        </w:tc>
        <w:tc>
          <w:tcPr>
            <w:tcW w:w="1593" w:type="pct"/>
            <w:gridSpan w:val="3"/>
            <w:tcBorders>
              <w:top w:val="single" w:sz="4" w:space="0" w:color="auto"/>
              <w:bottom w:val="single" w:sz="4" w:space="0" w:color="auto"/>
            </w:tcBorders>
          </w:tcPr>
          <w:p w:rsidR="00A1022F" w:rsidRDefault="00A1022F" w:rsidP="00B328AB">
            <w:pPr>
              <w:jc w:val="center"/>
            </w:pPr>
            <w:r>
              <w:t>HRS</w:t>
            </w:r>
          </w:p>
        </w:tc>
      </w:tr>
      <w:tr w:rsidR="001D19B4" w:rsidTr="00A1022F">
        <w:tc>
          <w:tcPr>
            <w:tcW w:w="1746" w:type="pct"/>
            <w:tcBorders>
              <w:bottom w:val="single" w:sz="4" w:space="0" w:color="auto"/>
            </w:tcBorders>
          </w:tcPr>
          <w:p w:rsidR="001D19B4" w:rsidRDefault="001D19B4" w:rsidP="00B328AB"/>
        </w:tc>
        <w:tc>
          <w:tcPr>
            <w:tcW w:w="503" w:type="pct"/>
            <w:tcBorders>
              <w:top w:val="single" w:sz="4" w:space="0" w:color="auto"/>
              <w:bottom w:val="single" w:sz="4" w:space="0" w:color="auto"/>
            </w:tcBorders>
          </w:tcPr>
          <w:p w:rsidR="001D19B4" w:rsidRDefault="001D19B4" w:rsidP="00B328AB">
            <w:pPr>
              <w:jc w:val="center"/>
            </w:pPr>
            <w:r>
              <w:t>(1)</w:t>
            </w:r>
          </w:p>
        </w:tc>
        <w:tc>
          <w:tcPr>
            <w:tcW w:w="503" w:type="pct"/>
            <w:tcBorders>
              <w:top w:val="single" w:sz="4" w:space="0" w:color="auto"/>
              <w:bottom w:val="single" w:sz="4" w:space="0" w:color="auto"/>
            </w:tcBorders>
          </w:tcPr>
          <w:p w:rsidR="001D19B4" w:rsidRDefault="001D19B4" w:rsidP="00B328AB">
            <w:pPr>
              <w:jc w:val="center"/>
            </w:pPr>
            <w:r>
              <w:t>(2)</w:t>
            </w:r>
          </w:p>
        </w:tc>
        <w:tc>
          <w:tcPr>
            <w:tcW w:w="505" w:type="pct"/>
            <w:tcBorders>
              <w:top w:val="single" w:sz="4" w:space="0" w:color="auto"/>
              <w:bottom w:val="single" w:sz="4" w:space="0" w:color="auto"/>
            </w:tcBorders>
          </w:tcPr>
          <w:p w:rsidR="001D19B4" w:rsidRDefault="001D19B4" w:rsidP="00B328AB">
            <w:pPr>
              <w:jc w:val="center"/>
            </w:pPr>
            <w:r>
              <w:t>(3)</w:t>
            </w:r>
          </w:p>
        </w:tc>
        <w:tc>
          <w:tcPr>
            <w:tcW w:w="151" w:type="pct"/>
            <w:tcBorders>
              <w:bottom w:val="single" w:sz="4" w:space="0" w:color="auto"/>
            </w:tcBorders>
          </w:tcPr>
          <w:p w:rsidR="001D19B4" w:rsidRDefault="001D19B4" w:rsidP="00B328AB">
            <w:pPr>
              <w:jc w:val="center"/>
            </w:pPr>
          </w:p>
        </w:tc>
        <w:tc>
          <w:tcPr>
            <w:tcW w:w="531" w:type="pct"/>
            <w:tcBorders>
              <w:top w:val="single" w:sz="4" w:space="0" w:color="auto"/>
              <w:bottom w:val="single" w:sz="4" w:space="0" w:color="auto"/>
            </w:tcBorders>
          </w:tcPr>
          <w:p w:rsidR="001D19B4" w:rsidRDefault="001D19B4" w:rsidP="00B328AB">
            <w:pPr>
              <w:jc w:val="center"/>
            </w:pPr>
            <w:r>
              <w:t>(1)</w:t>
            </w:r>
          </w:p>
        </w:tc>
        <w:tc>
          <w:tcPr>
            <w:tcW w:w="531" w:type="pct"/>
            <w:tcBorders>
              <w:top w:val="single" w:sz="4" w:space="0" w:color="auto"/>
              <w:bottom w:val="single" w:sz="4" w:space="0" w:color="auto"/>
            </w:tcBorders>
          </w:tcPr>
          <w:p w:rsidR="001D19B4" w:rsidRDefault="001D19B4" w:rsidP="00B328AB">
            <w:pPr>
              <w:jc w:val="center"/>
            </w:pPr>
            <w:r>
              <w:t>(2)</w:t>
            </w:r>
          </w:p>
        </w:tc>
        <w:tc>
          <w:tcPr>
            <w:tcW w:w="530" w:type="pct"/>
            <w:tcBorders>
              <w:top w:val="single" w:sz="4" w:space="0" w:color="auto"/>
              <w:bottom w:val="single" w:sz="4" w:space="0" w:color="auto"/>
            </w:tcBorders>
          </w:tcPr>
          <w:p w:rsidR="001D19B4" w:rsidRDefault="001D19B4" w:rsidP="00B328AB">
            <w:pPr>
              <w:jc w:val="center"/>
            </w:pPr>
            <w:r>
              <w:t>(3)</w:t>
            </w:r>
          </w:p>
        </w:tc>
      </w:tr>
      <w:tr w:rsidR="001D19B4" w:rsidTr="001D19B4">
        <w:tc>
          <w:tcPr>
            <w:tcW w:w="1746" w:type="pct"/>
            <w:tcBorders>
              <w:top w:val="single" w:sz="4" w:space="0" w:color="auto"/>
            </w:tcBorders>
          </w:tcPr>
          <w:p w:rsidR="001D19B4" w:rsidRDefault="001D19B4" w:rsidP="00B328AB"/>
        </w:tc>
        <w:tc>
          <w:tcPr>
            <w:tcW w:w="503" w:type="pct"/>
            <w:tcBorders>
              <w:top w:val="single" w:sz="4" w:space="0" w:color="auto"/>
            </w:tcBorders>
          </w:tcPr>
          <w:p w:rsidR="001D19B4" w:rsidRDefault="001D19B4" w:rsidP="00B328AB">
            <w:pPr>
              <w:jc w:val="center"/>
            </w:pPr>
          </w:p>
        </w:tc>
        <w:tc>
          <w:tcPr>
            <w:tcW w:w="503" w:type="pct"/>
            <w:tcBorders>
              <w:top w:val="single" w:sz="4" w:space="0" w:color="auto"/>
            </w:tcBorders>
          </w:tcPr>
          <w:p w:rsidR="001D19B4" w:rsidRDefault="001D19B4" w:rsidP="00B328AB">
            <w:pPr>
              <w:jc w:val="center"/>
            </w:pPr>
          </w:p>
        </w:tc>
        <w:tc>
          <w:tcPr>
            <w:tcW w:w="505" w:type="pct"/>
            <w:tcBorders>
              <w:top w:val="single" w:sz="4" w:space="0" w:color="auto"/>
            </w:tcBorders>
          </w:tcPr>
          <w:p w:rsidR="001D19B4" w:rsidRDefault="001D19B4" w:rsidP="00B328AB">
            <w:pPr>
              <w:jc w:val="center"/>
            </w:pPr>
          </w:p>
        </w:tc>
        <w:tc>
          <w:tcPr>
            <w:tcW w:w="151" w:type="pct"/>
            <w:tcBorders>
              <w:top w:val="single" w:sz="4" w:space="0" w:color="auto"/>
            </w:tcBorders>
          </w:tcPr>
          <w:p w:rsidR="001D19B4" w:rsidRDefault="001D19B4" w:rsidP="00B328AB">
            <w:pPr>
              <w:jc w:val="center"/>
            </w:pPr>
          </w:p>
        </w:tc>
        <w:tc>
          <w:tcPr>
            <w:tcW w:w="531" w:type="pct"/>
            <w:tcBorders>
              <w:top w:val="single" w:sz="4" w:space="0" w:color="auto"/>
            </w:tcBorders>
          </w:tcPr>
          <w:p w:rsidR="001D19B4" w:rsidRDefault="001D19B4" w:rsidP="00B328AB">
            <w:pPr>
              <w:jc w:val="center"/>
            </w:pPr>
          </w:p>
        </w:tc>
        <w:tc>
          <w:tcPr>
            <w:tcW w:w="531" w:type="pct"/>
            <w:tcBorders>
              <w:top w:val="single" w:sz="4" w:space="0" w:color="auto"/>
            </w:tcBorders>
          </w:tcPr>
          <w:p w:rsidR="001D19B4" w:rsidRDefault="001D19B4" w:rsidP="00B328AB">
            <w:pPr>
              <w:jc w:val="center"/>
            </w:pPr>
          </w:p>
        </w:tc>
        <w:tc>
          <w:tcPr>
            <w:tcW w:w="530" w:type="pct"/>
            <w:tcBorders>
              <w:top w:val="single" w:sz="4" w:space="0" w:color="auto"/>
            </w:tcBorders>
          </w:tcPr>
          <w:p w:rsidR="001D19B4" w:rsidRDefault="001D19B4" w:rsidP="00B328AB">
            <w:pPr>
              <w:jc w:val="center"/>
            </w:pPr>
          </w:p>
        </w:tc>
      </w:tr>
      <w:tr w:rsidR="001D19B4" w:rsidTr="001D19B4">
        <w:tc>
          <w:tcPr>
            <w:tcW w:w="1746" w:type="pct"/>
          </w:tcPr>
          <w:p w:rsidR="001D19B4" w:rsidRDefault="001D19B4" w:rsidP="00B328AB">
            <w:r>
              <w:t>Head single female</w:t>
            </w:r>
          </w:p>
        </w:tc>
        <w:tc>
          <w:tcPr>
            <w:tcW w:w="503" w:type="pct"/>
          </w:tcPr>
          <w:p w:rsidR="001D19B4" w:rsidRDefault="001D19B4" w:rsidP="00B328AB">
            <w:pPr>
              <w:jc w:val="center"/>
            </w:pPr>
            <w:r>
              <w:t>-.1</w:t>
            </w:r>
            <w:r w:rsidR="00FE2702">
              <w:t>41</w:t>
            </w:r>
          </w:p>
          <w:p w:rsidR="001D19B4" w:rsidRDefault="001D19B4" w:rsidP="00B328AB">
            <w:pPr>
              <w:jc w:val="center"/>
            </w:pPr>
            <w:r>
              <w:t>(.019)</w:t>
            </w:r>
          </w:p>
        </w:tc>
        <w:tc>
          <w:tcPr>
            <w:tcW w:w="503" w:type="pct"/>
          </w:tcPr>
          <w:p w:rsidR="001D19B4" w:rsidRDefault="001D19B4" w:rsidP="00B328AB">
            <w:pPr>
              <w:jc w:val="center"/>
            </w:pPr>
            <w:r>
              <w:t>-.0</w:t>
            </w:r>
            <w:r w:rsidR="00FE2702">
              <w:t>61</w:t>
            </w:r>
          </w:p>
          <w:p w:rsidR="001D19B4" w:rsidRDefault="001D19B4" w:rsidP="00B328AB">
            <w:pPr>
              <w:jc w:val="center"/>
            </w:pPr>
            <w:r>
              <w:t>(.021)</w:t>
            </w:r>
          </w:p>
        </w:tc>
        <w:tc>
          <w:tcPr>
            <w:tcW w:w="505" w:type="pct"/>
          </w:tcPr>
          <w:p w:rsidR="001D19B4" w:rsidRDefault="001D19B4" w:rsidP="00B328AB">
            <w:pPr>
              <w:jc w:val="center"/>
            </w:pPr>
            <w:r>
              <w:t>-.05</w:t>
            </w:r>
            <w:r w:rsidR="00376947">
              <w:t>9</w:t>
            </w:r>
          </w:p>
          <w:p w:rsidR="001D19B4" w:rsidRDefault="001D19B4" w:rsidP="00B328AB">
            <w:pPr>
              <w:jc w:val="center"/>
            </w:pPr>
            <w:r>
              <w:t>(.021)</w:t>
            </w:r>
          </w:p>
        </w:tc>
        <w:tc>
          <w:tcPr>
            <w:tcW w:w="151" w:type="pct"/>
          </w:tcPr>
          <w:p w:rsidR="001D19B4" w:rsidRDefault="001D19B4" w:rsidP="00B328AB">
            <w:pPr>
              <w:jc w:val="center"/>
            </w:pPr>
          </w:p>
        </w:tc>
        <w:tc>
          <w:tcPr>
            <w:tcW w:w="531" w:type="pct"/>
          </w:tcPr>
          <w:p w:rsidR="001D19B4" w:rsidRDefault="001D19B4" w:rsidP="00B328AB">
            <w:pPr>
              <w:jc w:val="center"/>
            </w:pPr>
            <w:r>
              <w:t>-.0</w:t>
            </w:r>
            <w:r w:rsidR="00C5357D">
              <w:t>68</w:t>
            </w:r>
          </w:p>
          <w:p w:rsidR="001D19B4" w:rsidRDefault="001D19B4" w:rsidP="00B328AB">
            <w:pPr>
              <w:jc w:val="center"/>
            </w:pPr>
            <w:r>
              <w:t>(.023)</w:t>
            </w:r>
          </w:p>
        </w:tc>
        <w:tc>
          <w:tcPr>
            <w:tcW w:w="531" w:type="pct"/>
          </w:tcPr>
          <w:p w:rsidR="001D19B4" w:rsidRDefault="001D19B4" w:rsidP="00B328AB">
            <w:pPr>
              <w:jc w:val="center"/>
            </w:pPr>
            <w:r>
              <w:t>.01</w:t>
            </w:r>
            <w:r w:rsidR="00C5357D">
              <w:t>9</w:t>
            </w:r>
          </w:p>
          <w:p w:rsidR="001D19B4" w:rsidRDefault="001D19B4" w:rsidP="00C5357D">
            <w:pPr>
              <w:jc w:val="center"/>
            </w:pPr>
            <w:r>
              <w:t>(.02</w:t>
            </w:r>
            <w:r w:rsidR="00C5357D">
              <w:t>4</w:t>
            </w:r>
            <w:r>
              <w:t>)</w:t>
            </w:r>
          </w:p>
        </w:tc>
        <w:tc>
          <w:tcPr>
            <w:tcW w:w="530" w:type="pct"/>
          </w:tcPr>
          <w:p w:rsidR="001D19B4" w:rsidRDefault="001D19B4" w:rsidP="00B328AB">
            <w:pPr>
              <w:jc w:val="center"/>
            </w:pPr>
            <w:r>
              <w:t>.0</w:t>
            </w:r>
            <w:r w:rsidR="005349B7">
              <w:t>20</w:t>
            </w:r>
          </w:p>
          <w:p w:rsidR="001D19B4" w:rsidRDefault="001D19B4" w:rsidP="00B328AB">
            <w:pPr>
              <w:jc w:val="center"/>
            </w:pPr>
            <w:r>
              <w:t>(.024)</w:t>
            </w:r>
          </w:p>
        </w:tc>
      </w:tr>
      <w:tr w:rsidR="001D19B4" w:rsidTr="001D19B4">
        <w:tc>
          <w:tcPr>
            <w:tcW w:w="1746" w:type="pct"/>
          </w:tcPr>
          <w:p w:rsidR="001D19B4" w:rsidRDefault="001D19B4" w:rsidP="00B328AB">
            <w:r>
              <w:t>Head education</w:t>
            </w:r>
          </w:p>
        </w:tc>
        <w:tc>
          <w:tcPr>
            <w:tcW w:w="503" w:type="pct"/>
          </w:tcPr>
          <w:p w:rsidR="001D19B4" w:rsidRDefault="001D19B4" w:rsidP="00B328AB">
            <w:pPr>
              <w:jc w:val="center"/>
            </w:pPr>
            <w:r>
              <w:t>.04</w:t>
            </w:r>
            <w:r w:rsidR="00FE2702">
              <w:t>6</w:t>
            </w:r>
          </w:p>
          <w:p w:rsidR="001D19B4" w:rsidRDefault="001D19B4" w:rsidP="00B328AB">
            <w:pPr>
              <w:jc w:val="center"/>
            </w:pPr>
            <w:r>
              <w:t>(.003)</w:t>
            </w:r>
          </w:p>
        </w:tc>
        <w:tc>
          <w:tcPr>
            <w:tcW w:w="503" w:type="pct"/>
          </w:tcPr>
          <w:p w:rsidR="001D19B4" w:rsidRDefault="001D19B4" w:rsidP="00B328AB">
            <w:pPr>
              <w:jc w:val="center"/>
            </w:pPr>
            <w:r>
              <w:t>.032</w:t>
            </w:r>
          </w:p>
          <w:p w:rsidR="001D19B4" w:rsidRDefault="001D19B4" w:rsidP="00B328AB">
            <w:pPr>
              <w:jc w:val="center"/>
            </w:pPr>
            <w:r>
              <w:t>(.003)</w:t>
            </w:r>
          </w:p>
        </w:tc>
        <w:tc>
          <w:tcPr>
            <w:tcW w:w="505" w:type="pct"/>
          </w:tcPr>
          <w:p w:rsidR="001D19B4" w:rsidRDefault="001D19B4" w:rsidP="00B328AB">
            <w:pPr>
              <w:jc w:val="center"/>
            </w:pPr>
            <w:r>
              <w:t>.03</w:t>
            </w:r>
            <w:r w:rsidR="00CC4C9C">
              <w:t>1</w:t>
            </w:r>
          </w:p>
          <w:p w:rsidR="001D19B4" w:rsidRDefault="001D19B4" w:rsidP="00376947">
            <w:pPr>
              <w:jc w:val="center"/>
            </w:pPr>
            <w:r>
              <w:t>(.00</w:t>
            </w:r>
            <w:r w:rsidR="00376947">
              <w:t>4</w:t>
            </w:r>
            <w:r>
              <w:t>)</w:t>
            </w:r>
          </w:p>
        </w:tc>
        <w:tc>
          <w:tcPr>
            <w:tcW w:w="151" w:type="pct"/>
          </w:tcPr>
          <w:p w:rsidR="001D19B4" w:rsidRDefault="001D19B4" w:rsidP="00B328AB">
            <w:pPr>
              <w:jc w:val="center"/>
            </w:pPr>
          </w:p>
        </w:tc>
        <w:tc>
          <w:tcPr>
            <w:tcW w:w="531" w:type="pct"/>
          </w:tcPr>
          <w:p w:rsidR="001D19B4" w:rsidRDefault="001D19B4" w:rsidP="00B328AB">
            <w:pPr>
              <w:jc w:val="center"/>
            </w:pPr>
            <w:r>
              <w:t>.056</w:t>
            </w:r>
          </w:p>
          <w:p w:rsidR="001D19B4" w:rsidRDefault="001D19B4" w:rsidP="00B328AB">
            <w:pPr>
              <w:jc w:val="center"/>
            </w:pPr>
            <w:r>
              <w:t>(.003)</w:t>
            </w:r>
          </w:p>
        </w:tc>
        <w:tc>
          <w:tcPr>
            <w:tcW w:w="531" w:type="pct"/>
          </w:tcPr>
          <w:p w:rsidR="001D19B4" w:rsidRDefault="001D19B4" w:rsidP="00B328AB">
            <w:pPr>
              <w:jc w:val="center"/>
            </w:pPr>
            <w:r>
              <w:t>.043</w:t>
            </w:r>
          </w:p>
          <w:p w:rsidR="001D19B4" w:rsidRDefault="001D19B4" w:rsidP="00B328AB">
            <w:pPr>
              <w:jc w:val="center"/>
            </w:pPr>
            <w:r>
              <w:t>(.003)</w:t>
            </w:r>
          </w:p>
        </w:tc>
        <w:tc>
          <w:tcPr>
            <w:tcW w:w="530" w:type="pct"/>
          </w:tcPr>
          <w:p w:rsidR="001D19B4" w:rsidRDefault="001D19B4" w:rsidP="00B328AB">
            <w:pPr>
              <w:jc w:val="center"/>
            </w:pPr>
            <w:r>
              <w:t>.041</w:t>
            </w:r>
          </w:p>
          <w:p w:rsidR="001D19B4" w:rsidRDefault="001D19B4" w:rsidP="00B328AB">
            <w:pPr>
              <w:jc w:val="center"/>
            </w:pPr>
            <w:r>
              <w:t>(.003)</w:t>
            </w:r>
          </w:p>
        </w:tc>
      </w:tr>
      <w:tr w:rsidR="001D19B4" w:rsidTr="001D19B4">
        <w:tc>
          <w:tcPr>
            <w:tcW w:w="1746" w:type="pct"/>
          </w:tcPr>
          <w:p w:rsidR="001D19B4" w:rsidRDefault="001D19B4" w:rsidP="00B328AB">
            <w:r>
              <w:t>Head black</w:t>
            </w:r>
          </w:p>
        </w:tc>
        <w:tc>
          <w:tcPr>
            <w:tcW w:w="503" w:type="pct"/>
          </w:tcPr>
          <w:p w:rsidR="001D19B4" w:rsidRDefault="001D19B4" w:rsidP="00B328AB">
            <w:pPr>
              <w:jc w:val="center"/>
            </w:pPr>
            <w:r>
              <w:t>-.01</w:t>
            </w:r>
            <w:r w:rsidR="00FE2702">
              <w:t>0</w:t>
            </w:r>
          </w:p>
          <w:p w:rsidR="001D19B4" w:rsidRDefault="001D19B4" w:rsidP="00B328AB">
            <w:pPr>
              <w:jc w:val="center"/>
            </w:pPr>
            <w:r>
              <w:t>(.022)</w:t>
            </w:r>
          </w:p>
        </w:tc>
        <w:tc>
          <w:tcPr>
            <w:tcW w:w="503" w:type="pct"/>
          </w:tcPr>
          <w:p w:rsidR="001D19B4" w:rsidRDefault="001D19B4" w:rsidP="00B328AB">
            <w:pPr>
              <w:jc w:val="center"/>
            </w:pPr>
            <w:r>
              <w:t>.01</w:t>
            </w:r>
            <w:r w:rsidR="00FE2702">
              <w:t>7</w:t>
            </w:r>
          </w:p>
          <w:p w:rsidR="001D19B4" w:rsidRDefault="001D19B4" w:rsidP="00FE2702">
            <w:pPr>
              <w:jc w:val="center"/>
            </w:pPr>
            <w:r>
              <w:t>(.02</w:t>
            </w:r>
            <w:r w:rsidR="00FE2702">
              <w:t>2</w:t>
            </w:r>
            <w:r>
              <w:t>)</w:t>
            </w:r>
          </w:p>
        </w:tc>
        <w:tc>
          <w:tcPr>
            <w:tcW w:w="505" w:type="pct"/>
          </w:tcPr>
          <w:p w:rsidR="001D19B4" w:rsidRDefault="001D19B4" w:rsidP="00B328AB">
            <w:pPr>
              <w:jc w:val="center"/>
            </w:pPr>
            <w:r>
              <w:t>.02</w:t>
            </w:r>
            <w:r w:rsidR="00376947">
              <w:t>7</w:t>
            </w:r>
          </w:p>
          <w:p w:rsidR="001D19B4" w:rsidRDefault="001D19B4" w:rsidP="00376947">
            <w:pPr>
              <w:jc w:val="center"/>
            </w:pPr>
            <w:r>
              <w:t>(.02</w:t>
            </w:r>
            <w:r w:rsidR="00376947">
              <w:t>2</w:t>
            </w:r>
            <w:r>
              <w:t>)</w:t>
            </w:r>
          </w:p>
        </w:tc>
        <w:tc>
          <w:tcPr>
            <w:tcW w:w="151" w:type="pct"/>
          </w:tcPr>
          <w:p w:rsidR="001D19B4" w:rsidRDefault="001D19B4" w:rsidP="00B328AB">
            <w:pPr>
              <w:jc w:val="center"/>
            </w:pPr>
          </w:p>
        </w:tc>
        <w:tc>
          <w:tcPr>
            <w:tcW w:w="531" w:type="pct"/>
          </w:tcPr>
          <w:p w:rsidR="001D19B4" w:rsidRDefault="001D19B4" w:rsidP="00B328AB">
            <w:pPr>
              <w:jc w:val="center"/>
            </w:pPr>
            <w:r>
              <w:t>-.06</w:t>
            </w:r>
            <w:r w:rsidR="00C5357D">
              <w:t>5</w:t>
            </w:r>
          </w:p>
          <w:p w:rsidR="001D19B4" w:rsidRDefault="001D19B4" w:rsidP="00B328AB">
            <w:pPr>
              <w:jc w:val="center"/>
            </w:pPr>
            <w:r>
              <w:t>(.025)</w:t>
            </w:r>
          </w:p>
        </w:tc>
        <w:tc>
          <w:tcPr>
            <w:tcW w:w="531" w:type="pct"/>
          </w:tcPr>
          <w:p w:rsidR="001D19B4" w:rsidRDefault="001D19B4" w:rsidP="00B328AB">
            <w:pPr>
              <w:jc w:val="center"/>
            </w:pPr>
            <w:r>
              <w:t>-.02</w:t>
            </w:r>
            <w:r w:rsidR="00C5357D">
              <w:t>7</w:t>
            </w:r>
          </w:p>
          <w:p w:rsidR="001D19B4" w:rsidRDefault="001D19B4" w:rsidP="00C5357D">
            <w:pPr>
              <w:jc w:val="center"/>
            </w:pPr>
            <w:r>
              <w:t>(.02</w:t>
            </w:r>
            <w:r w:rsidR="00C5357D">
              <w:t>4</w:t>
            </w:r>
            <w:r>
              <w:t>)</w:t>
            </w:r>
          </w:p>
        </w:tc>
        <w:tc>
          <w:tcPr>
            <w:tcW w:w="530" w:type="pct"/>
          </w:tcPr>
          <w:p w:rsidR="001D19B4" w:rsidRDefault="001D19B4" w:rsidP="00B328AB">
            <w:pPr>
              <w:jc w:val="center"/>
            </w:pPr>
            <w:r>
              <w:t>-.005</w:t>
            </w:r>
          </w:p>
          <w:p w:rsidR="001D19B4" w:rsidRDefault="001D19B4" w:rsidP="00B328AB">
            <w:pPr>
              <w:jc w:val="center"/>
            </w:pPr>
            <w:r>
              <w:t>(.025)</w:t>
            </w:r>
          </w:p>
        </w:tc>
      </w:tr>
      <w:tr w:rsidR="001D19B4" w:rsidTr="001D19B4">
        <w:tc>
          <w:tcPr>
            <w:tcW w:w="1746" w:type="pct"/>
          </w:tcPr>
          <w:p w:rsidR="001D19B4" w:rsidRDefault="001D19B4" w:rsidP="00B328AB">
            <w:r>
              <w:t>Head Hispanic</w:t>
            </w:r>
          </w:p>
        </w:tc>
        <w:tc>
          <w:tcPr>
            <w:tcW w:w="503" w:type="pct"/>
          </w:tcPr>
          <w:p w:rsidR="001D19B4" w:rsidRDefault="001D19B4" w:rsidP="00B328AB">
            <w:pPr>
              <w:jc w:val="center"/>
            </w:pPr>
          </w:p>
        </w:tc>
        <w:tc>
          <w:tcPr>
            <w:tcW w:w="503" w:type="pct"/>
          </w:tcPr>
          <w:p w:rsidR="001D19B4" w:rsidRDefault="001D19B4" w:rsidP="00B328AB">
            <w:pPr>
              <w:jc w:val="center"/>
            </w:pPr>
          </w:p>
        </w:tc>
        <w:tc>
          <w:tcPr>
            <w:tcW w:w="505" w:type="pct"/>
          </w:tcPr>
          <w:p w:rsidR="001D19B4" w:rsidRDefault="001D19B4" w:rsidP="00B328AB">
            <w:pPr>
              <w:jc w:val="center"/>
            </w:pPr>
          </w:p>
        </w:tc>
        <w:tc>
          <w:tcPr>
            <w:tcW w:w="151" w:type="pct"/>
          </w:tcPr>
          <w:p w:rsidR="001D19B4" w:rsidRDefault="001D19B4" w:rsidP="00B328AB">
            <w:pPr>
              <w:jc w:val="center"/>
            </w:pPr>
          </w:p>
        </w:tc>
        <w:tc>
          <w:tcPr>
            <w:tcW w:w="531" w:type="pct"/>
          </w:tcPr>
          <w:p w:rsidR="001D19B4" w:rsidRDefault="001D19B4" w:rsidP="00B328AB">
            <w:pPr>
              <w:jc w:val="center"/>
            </w:pPr>
            <w:r>
              <w:t>.07</w:t>
            </w:r>
            <w:r w:rsidR="00C5357D">
              <w:t>0</w:t>
            </w:r>
          </w:p>
          <w:p w:rsidR="001D19B4" w:rsidRDefault="001D19B4" w:rsidP="00B328AB">
            <w:pPr>
              <w:jc w:val="center"/>
            </w:pPr>
            <w:r>
              <w:t>(.029)</w:t>
            </w:r>
          </w:p>
        </w:tc>
        <w:tc>
          <w:tcPr>
            <w:tcW w:w="531" w:type="pct"/>
          </w:tcPr>
          <w:p w:rsidR="001D19B4" w:rsidRDefault="001D19B4" w:rsidP="00B328AB">
            <w:pPr>
              <w:jc w:val="center"/>
            </w:pPr>
            <w:r>
              <w:t>.09</w:t>
            </w:r>
            <w:r w:rsidR="00C5357D">
              <w:t>0</w:t>
            </w:r>
          </w:p>
          <w:p w:rsidR="001D19B4" w:rsidRDefault="001D19B4" w:rsidP="00B328AB">
            <w:pPr>
              <w:jc w:val="center"/>
            </w:pPr>
            <w:r>
              <w:t>(.028)</w:t>
            </w:r>
          </w:p>
        </w:tc>
        <w:tc>
          <w:tcPr>
            <w:tcW w:w="530" w:type="pct"/>
          </w:tcPr>
          <w:p w:rsidR="001D19B4" w:rsidRDefault="001D19B4" w:rsidP="00B328AB">
            <w:pPr>
              <w:jc w:val="center"/>
            </w:pPr>
            <w:r>
              <w:t>.09</w:t>
            </w:r>
            <w:r w:rsidR="005349B7">
              <w:t>3</w:t>
            </w:r>
          </w:p>
          <w:p w:rsidR="001D19B4" w:rsidRDefault="001D19B4" w:rsidP="00B328AB">
            <w:pPr>
              <w:jc w:val="center"/>
            </w:pPr>
            <w:r>
              <w:t>(.028)</w:t>
            </w:r>
          </w:p>
        </w:tc>
      </w:tr>
      <w:tr w:rsidR="001D19B4" w:rsidTr="001D19B4">
        <w:tc>
          <w:tcPr>
            <w:tcW w:w="1746" w:type="pct"/>
          </w:tcPr>
          <w:p w:rsidR="001D19B4" w:rsidRDefault="001D19B4" w:rsidP="00B328AB"/>
        </w:tc>
        <w:tc>
          <w:tcPr>
            <w:tcW w:w="503" w:type="pct"/>
          </w:tcPr>
          <w:p w:rsidR="001D19B4" w:rsidRDefault="001D19B4" w:rsidP="00B328AB">
            <w:pPr>
              <w:jc w:val="center"/>
            </w:pPr>
          </w:p>
        </w:tc>
        <w:tc>
          <w:tcPr>
            <w:tcW w:w="503" w:type="pct"/>
          </w:tcPr>
          <w:p w:rsidR="001D19B4" w:rsidRDefault="001D19B4" w:rsidP="00B328AB">
            <w:pPr>
              <w:jc w:val="center"/>
            </w:pPr>
          </w:p>
        </w:tc>
        <w:tc>
          <w:tcPr>
            <w:tcW w:w="505" w:type="pct"/>
          </w:tcPr>
          <w:p w:rsidR="001D19B4" w:rsidRDefault="001D19B4" w:rsidP="00B328AB">
            <w:pPr>
              <w:jc w:val="center"/>
            </w:pPr>
          </w:p>
        </w:tc>
        <w:tc>
          <w:tcPr>
            <w:tcW w:w="151" w:type="pct"/>
          </w:tcPr>
          <w:p w:rsidR="001D19B4" w:rsidRDefault="001D19B4" w:rsidP="00B328AB">
            <w:pPr>
              <w:jc w:val="center"/>
            </w:pPr>
          </w:p>
        </w:tc>
        <w:tc>
          <w:tcPr>
            <w:tcW w:w="531" w:type="pct"/>
          </w:tcPr>
          <w:p w:rsidR="001D19B4" w:rsidRDefault="001D19B4" w:rsidP="00B328AB">
            <w:pPr>
              <w:jc w:val="center"/>
            </w:pPr>
          </w:p>
        </w:tc>
        <w:tc>
          <w:tcPr>
            <w:tcW w:w="531" w:type="pct"/>
          </w:tcPr>
          <w:p w:rsidR="001D19B4" w:rsidRDefault="001D19B4" w:rsidP="00B328AB">
            <w:pPr>
              <w:jc w:val="center"/>
            </w:pPr>
          </w:p>
        </w:tc>
        <w:tc>
          <w:tcPr>
            <w:tcW w:w="530" w:type="pct"/>
          </w:tcPr>
          <w:p w:rsidR="001D19B4" w:rsidRDefault="001D19B4" w:rsidP="00B328AB">
            <w:pPr>
              <w:jc w:val="center"/>
            </w:pPr>
          </w:p>
        </w:tc>
      </w:tr>
      <w:tr w:rsidR="001D19B4" w:rsidTr="001D19B4">
        <w:tc>
          <w:tcPr>
            <w:tcW w:w="1746" w:type="pct"/>
          </w:tcPr>
          <w:p w:rsidR="001D19B4" w:rsidRDefault="001D19B4" w:rsidP="00B328AB">
            <w:r>
              <w:t>Income</w:t>
            </w:r>
          </w:p>
        </w:tc>
        <w:tc>
          <w:tcPr>
            <w:tcW w:w="503" w:type="pct"/>
          </w:tcPr>
          <w:p w:rsidR="001D19B4" w:rsidRDefault="001D19B4" w:rsidP="00B328AB">
            <w:pPr>
              <w:jc w:val="center"/>
            </w:pPr>
            <w:r>
              <w:t>No</w:t>
            </w:r>
          </w:p>
        </w:tc>
        <w:tc>
          <w:tcPr>
            <w:tcW w:w="503" w:type="pct"/>
          </w:tcPr>
          <w:p w:rsidR="001D19B4" w:rsidRDefault="001D19B4" w:rsidP="00B328AB">
            <w:pPr>
              <w:jc w:val="center"/>
            </w:pPr>
            <w:r>
              <w:t>Yes</w:t>
            </w:r>
          </w:p>
        </w:tc>
        <w:tc>
          <w:tcPr>
            <w:tcW w:w="505" w:type="pct"/>
          </w:tcPr>
          <w:p w:rsidR="001D19B4" w:rsidRDefault="001D19B4" w:rsidP="00B328AB">
            <w:pPr>
              <w:jc w:val="center"/>
            </w:pPr>
            <w:r>
              <w:t>Yes</w:t>
            </w:r>
          </w:p>
        </w:tc>
        <w:tc>
          <w:tcPr>
            <w:tcW w:w="151" w:type="pct"/>
          </w:tcPr>
          <w:p w:rsidR="001D19B4" w:rsidRDefault="001D19B4" w:rsidP="00B328AB">
            <w:pPr>
              <w:jc w:val="center"/>
            </w:pPr>
          </w:p>
        </w:tc>
        <w:tc>
          <w:tcPr>
            <w:tcW w:w="531" w:type="pct"/>
          </w:tcPr>
          <w:p w:rsidR="001D19B4" w:rsidRDefault="001D19B4" w:rsidP="00B328AB">
            <w:pPr>
              <w:jc w:val="center"/>
            </w:pPr>
            <w:r>
              <w:t>No</w:t>
            </w:r>
          </w:p>
        </w:tc>
        <w:tc>
          <w:tcPr>
            <w:tcW w:w="531" w:type="pct"/>
          </w:tcPr>
          <w:p w:rsidR="001D19B4" w:rsidRDefault="001D19B4" w:rsidP="00B328AB">
            <w:pPr>
              <w:jc w:val="center"/>
            </w:pPr>
            <w:r>
              <w:t>Yes</w:t>
            </w:r>
          </w:p>
        </w:tc>
        <w:tc>
          <w:tcPr>
            <w:tcW w:w="530" w:type="pct"/>
          </w:tcPr>
          <w:p w:rsidR="001D19B4" w:rsidRDefault="001D19B4" w:rsidP="00B328AB">
            <w:pPr>
              <w:jc w:val="center"/>
            </w:pPr>
            <w:r>
              <w:t>Yes</w:t>
            </w:r>
          </w:p>
        </w:tc>
      </w:tr>
      <w:tr w:rsidR="001D19B4" w:rsidTr="001D19B4">
        <w:tc>
          <w:tcPr>
            <w:tcW w:w="1746" w:type="pct"/>
          </w:tcPr>
          <w:p w:rsidR="001D19B4" w:rsidRDefault="00DC0817" w:rsidP="00606255">
            <w:r>
              <w:t>Wealth</w:t>
            </w:r>
          </w:p>
        </w:tc>
        <w:tc>
          <w:tcPr>
            <w:tcW w:w="503" w:type="pct"/>
          </w:tcPr>
          <w:p w:rsidR="001D19B4" w:rsidRDefault="001D19B4" w:rsidP="00B328AB">
            <w:pPr>
              <w:jc w:val="center"/>
            </w:pPr>
            <w:r>
              <w:t>No</w:t>
            </w:r>
          </w:p>
        </w:tc>
        <w:tc>
          <w:tcPr>
            <w:tcW w:w="503" w:type="pct"/>
          </w:tcPr>
          <w:p w:rsidR="001D19B4" w:rsidRDefault="001D19B4" w:rsidP="00B328AB">
            <w:pPr>
              <w:jc w:val="center"/>
            </w:pPr>
            <w:r>
              <w:t>No</w:t>
            </w:r>
          </w:p>
        </w:tc>
        <w:tc>
          <w:tcPr>
            <w:tcW w:w="505" w:type="pct"/>
          </w:tcPr>
          <w:p w:rsidR="001D19B4" w:rsidRDefault="001D19B4" w:rsidP="00B328AB">
            <w:pPr>
              <w:jc w:val="center"/>
            </w:pPr>
            <w:r>
              <w:t>Yes</w:t>
            </w:r>
          </w:p>
        </w:tc>
        <w:tc>
          <w:tcPr>
            <w:tcW w:w="151" w:type="pct"/>
          </w:tcPr>
          <w:p w:rsidR="001D19B4" w:rsidRDefault="001D19B4" w:rsidP="00B328AB">
            <w:pPr>
              <w:jc w:val="center"/>
            </w:pPr>
          </w:p>
        </w:tc>
        <w:tc>
          <w:tcPr>
            <w:tcW w:w="531" w:type="pct"/>
          </w:tcPr>
          <w:p w:rsidR="001D19B4" w:rsidRDefault="001D19B4" w:rsidP="00B328AB">
            <w:pPr>
              <w:jc w:val="center"/>
            </w:pPr>
            <w:r>
              <w:t>No</w:t>
            </w:r>
          </w:p>
        </w:tc>
        <w:tc>
          <w:tcPr>
            <w:tcW w:w="531" w:type="pct"/>
          </w:tcPr>
          <w:p w:rsidR="001D19B4" w:rsidRDefault="001D19B4" w:rsidP="00B328AB">
            <w:pPr>
              <w:jc w:val="center"/>
            </w:pPr>
            <w:r>
              <w:t>No</w:t>
            </w:r>
          </w:p>
        </w:tc>
        <w:tc>
          <w:tcPr>
            <w:tcW w:w="530" w:type="pct"/>
          </w:tcPr>
          <w:p w:rsidR="001D19B4" w:rsidRDefault="001D19B4" w:rsidP="00B328AB">
            <w:pPr>
              <w:jc w:val="center"/>
            </w:pPr>
            <w:r>
              <w:t>Yes</w:t>
            </w:r>
          </w:p>
        </w:tc>
      </w:tr>
      <w:tr w:rsidR="001D19B4" w:rsidTr="001D19B4">
        <w:tc>
          <w:tcPr>
            <w:tcW w:w="1746" w:type="pct"/>
          </w:tcPr>
          <w:p w:rsidR="001D19B4" w:rsidRDefault="001D19B4" w:rsidP="00B328AB"/>
        </w:tc>
        <w:tc>
          <w:tcPr>
            <w:tcW w:w="503" w:type="pct"/>
          </w:tcPr>
          <w:p w:rsidR="001D19B4" w:rsidRDefault="001D19B4" w:rsidP="00B328AB">
            <w:pPr>
              <w:jc w:val="center"/>
            </w:pPr>
          </w:p>
        </w:tc>
        <w:tc>
          <w:tcPr>
            <w:tcW w:w="503" w:type="pct"/>
          </w:tcPr>
          <w:p w:rsidR="001D19B4" w:rsidRDefault="001D19B4" w:rsidP="00B328AB">
            <w:pPr>
              <w:jc w:val="center"/>
            </w:pPr>
          </w:p>
        </w:tc>
        <w:tc>
          <w:tcPr>
            <w:tcW w:w="505" w:type="pct"/>
          </w:tcPr>
          <w:p w:rsidR="001D19B4" w:rsidRDefault="001D19B4" w:rsidP="00B328AB">
            <w:pPr>
              <w:jc w:val="center"/>
            </w:pPr>
          </w:p>
        </w:tc>
        <w:tc>
          <w:tcPr>
            <w:tcW w:w="151" w:type="pct"/>
          </w:tcPr>
          <w:p w:rsidR="001D19B4" w:rsidRDefault="001D19B4" w:rsidP="00B328AB">
            <w:pPr>
              <w:jc w:val="center"/>
            </w:pPr>
          </w:p>
        </w:tc>
        <w:tc>
          <w:tcPr>
            <w:tcW w:w="531" w:type="pct"/>
          </w:tcPr>
          <w:p w:rsidR="001D19B4" w:rsidRDefault="001D19B4" w:rsidP="00B328AB">
            <w:pPr>
              <w:jc w:val="center"/>
            </w:pPr>
          </w:p>
        </w:tc>
        <w:tc>
          <w:tcPr>
            <w:tcW w:w="531" w:type="pct"/>
          </w:tcPr>
          <w:p w:rsidR="001D19B4" w:rsidRDefault="001D19B4" w:rsidP="00B328AB">
            <w:pPr>
              <w:jc w:val="center"/>
            </w:pPr>
          </w:p>
        </w:tc>
        <w:tc>
          <w:tcPr>
            <w:tcW w:w="530" w:type="pct"/>
          </w:tcPr>
          <w:p w:rsidR="001D19B4" w:rsidRDefault="001D19B4" w:rsidP="00B328AB">
            <w:pPr>
              <w:jc w:val="center"/>
            </w:pPr>
          </w:p>
        </w:tc>
      </w:tr>
      <w:tr w:rsidR="001D19B4" w:rsidTr="00BA05B7">
        <w:tc>
          <w:tcPr>
            <w:tcW w:w="1746" w:type="pct"/>
          </w:tcPr>
          <w:p w:rsidR="001D19B4" w:rsidRDefault="001D19B4" w:rsidP="00B328AB">
            <w:r>
              <w:t>Dependent mean</w:t>
            </w:r>
          </w:p>
        </w:tc>
        <w:tc>
          <w:tcPr>
            <w:tcW w:w="503" w:type="pct"/>
          </w:tcPr>
          <w:p w:rsidR="001D19B4" w:rsidRDefault="001D19B4" w:rsidP="00B328AB">
            <w:pPr>
              <w:jc w:val="center"/>
            </w:pPr>
            <w:r>
              <w:t>.514</w:t>
            </w:r>
          </w:p>
        </w:tc>
        <w:tc>
          <w:tcPr>
            <w:tcW w:w="503" w:type="pct"/>
          </w:tcPr>
          <w:p w:rsidR="001D19B4" w:rsidRDefault="001D19B4" w:rsidP="00B328AB">
            <w:pPr>
              <w:jc w:val="center"/>
            </w:pPr>
            <w:r>
              <w:t>.514</w:t>
            </w:r>
          </w:p>
        </w:tc>
        <w:tc>
          <w:tcPr>
            <w:tcW w:w="505" w:type="pct"/>
          </w:tcPr>
          <w:p w:rsidR="001D19B4" w:rsidRDefault="001D19B4" w:rsidP="00B328AB">
            <w:pPr>
              <w:jc w:val="center"/>
            </w:pPr>
            <w:r>
              <w:t>.514</w:t>
            </w:r>
          </w:p>
        </w:tc>
        <w:tc>
          <w:tcPr>
            <w:tcW w:w="151" w:type="pct"/>
          </w:tcPr>
          <w:p w:rsidR="001D19B4" w:rsidRDefault="001D19B4" w:rsidP="00B328AB">
            <w:pPr>
              <w:jc w:val="center"/>
            </w:pPr>
          </w:p>
        </w:tc>
        <w:tc>
          <w:tcPr>
            <w:tcW w:w="531" w:type="pct"/>
          </w:tcPr>
          <w:p w:rsidR="001D19B4" w:rsidRDefault="001D19B4" w:rsidP="00B328AB">
            <w:pPr>
              <w:jc w:val="center"/>
            </w:pPr>
            <w:r>
              <w:t>.624</w:t>
            </w:r>
          </w:p>
        </w:tc>
        <w:tc>
          <w:tcPr>
            <w:tcW w:w="531" w:type="pct"/>
          </w:tcPr>
          <w:p w:rsidR="001D19B4" w:rsidRDefault="001D19B4" w:rsidP="00B328AB">
            <w:pPr>
              <w:jc w:val="center"/>
            </w:pPr>
            <w:r>
              <w:t>.624</w:t>
            </w:r>
          </w:p>
        </w:tc>
        <w:tc>
          <w:tcPr>
            <w:tcW w:w="530" w:type="pct"/>
          </w:tcPr>
          <w:p w:rsidR="001D19B4" w:rsidRDefault="001D19B4" w:rsidP="00B328AB">
            <w:pPr>
              <w:jc w:val="center"/>
            </w:pPr>
            <w:r>
              <w:t>.624</w:t>
            </w:r>
          </w:p>
        </w:tc>
      </w:tr>
      <w:tr w:rsidR="001D19B4" w:rsidTr="00BA05B7">
        <w:tc>
          <w:tcPr>
            <w:tcW w:w="1746" w:type="pct"/>
            <w:tcBorders>
              <w:bottom w:val="single" w:sz="4" w:space="0" w:color="auto"/>
            </w:tcBorders>
          </w:tcPr>
          <w:p w:rsidR="001D19B4" w:rsidRDefault="001D19B4" w:rsidP="00B328AB">
            <w:r>
              <w:t>R-square</w:t>
            </w:r>
          </w:p>
        </w:tc>
        <w:tc>
          <w:tcPr>
            <w:tcW w:w="503" w:type="pct"/>
            <w:tcBorders>
              <w:bottom w:val="single" w:sz="4" w:space="0" w:color="auto"/>
            </w:tcBorders>
          </w:tcPr>
          <w:p w:rsidR="001D19B4" w:rsidRDefault="001D19B4" w:rsidP="00FE2702">
            <w:pPr>
              <w:jc w:val="center"/>
            </w:pPr>
            <w:r>
              <w:t>.1</w:t>
            </w:r>
            <w:r w:rsidR="00FE2702">
              <w:t>2</w:t>
            </w:r>
            <w:r>
              <w:t>9</w:t>
            </w:r>
          </w:p>
        </w:tc>
        <w:tc>
          <w:tcPr>
            <w:tcW w:w="503" w:type="pct"/>
            <w:tcBorders>
              <w:bottom w:val="single" w:sz="4" w:space="0" w:color="auto"/>
            </w:tcBorders>
          </w:tcPr>
          <w:p w:rsidR="001D19B4" w:rsidRDefault="001D19B4" w:rsidP="00FE2702">
            <w:pPr>
              <w:jc w:val="center"/>
            </w:pPr>
            <w:r>
              <w:t>.1</w:t>
            </w:r>
            <w:r w:rsidR="00FE2702">
              <w:t>5</w:t>
            </w:r>
            <w:r>
              <w:t>1</w:t>
            </w:r>
          </w:p>
        </w:tc>
        <w:tc>
          <w:tcPr>
            <w:tcW w:w="505" w:type="pct"/>
            <w:tcBorders>
              <w:bottom w:val="single" w:sz="4" w:space="0" w:color="auto"/>
            </w:tcBorders>
          </w:tcPr>
          <w:p w:rsidR="001D19B4" w:rsidRDefault="001D19B4" w:rsidP="00376947">
            <w:pPr>
              <w:jc w:val="center"/>
            </w:pPr>
            <w:r>
              <w:t>.1</w:t>
            </w:r>
            <w:r w:rsidR="00376947">
              <w:t>60</w:t>
            </w:r>
          </w:p>
        </w:tc>
        <w:tc>
          <w:tcPr>
            <w:tcW w:w="151" w:type="pct"/>
            <w:tcBorders>
              <w:bottom w:val="single" w:sz="4" w:space="0" w:color="auto"/>
            </w:tcBorders>
          </w:tcPr>
          <w:p w:rsidR="001D19B4" w:rsidRDefault="001D19B4" w:rsidP="00B328AB">
            <w:pPr>
              <w:jc w:val="center"/>
            </w:pPr>
          </w:p>
        </w:tc>
        <w:tc>
          <w:tcPr>
            <w:tcW w:w="531" w:type="pct"/>
            <w:tcBorders>
              <w:bottom w:val="single" w:sz="4" w:space="0" w:color="auto"/>
            </w:tcBorders>
          </w:tcPr>
          <w:p w:rsidR="001D19B4" w:rsidRDefault="001D19B4" w:rsidP="00C5357D">
            <w:pPr>
              <w:jc w:val="center"/>
            </w:pPr>
            <w:r>
              <w:t>.1</w:t>
            </w:r>
            <w:r w:rsidR="00C5357D">
              <w:t>76</w:t>
            </w:r>
          </w:p>
        </w:tc>
        <w:tc>
          <w:tcPr>
            <w:tcW w:w="531" w:type="pct"/>
            <w:tcBorders>
              <w:bottom w:val="single" w:sz="4" w:space="0" w:color="auto"/>
            </w:tcBorders>
          </w:tcPr>
          <w:p w:rsidR="001D19B4" w:rsidRDefault="001D19B4" w:rsidP="001D483B">
            <w:pPr>
              <w:jc w:val="center"/>
            </w:pPr>
            <w:r>
              <w:t>.</w:t>
            </w:r>
            <w:r w:rsidR="001D483B">
              <w:t>207</w:t>
            </w:r>
          </w:p>
        </w:tc>
        <w:tc>
          <w:tcPr>
            <w:tcW w:w="530" w:type="pct"/>
            <w:tcBorders>
              <w:bottom w:val="single" w:sz="4" w:space="0" w:color="auto"/>
            </w:tcBorders>
          </w:tcPr>
          <w:p w:rsidR="001D19B4" w:rsidRDefault="001D19B4" w:rsidP="005349B7">
            <w:pPr>
              <w:jc w:val="center"/>
            </w:pPr>
            <w:r>
              <w:t>.2</w:t>
            </w:r>
            <w:r w:rsidR="005349B7">
              <w:t>21</w:t>
            </w:r>
          </w:p>
        </w:tc>
      </w:tr>
    </w:tbl>
    <w:p w:rsidR="002104FF" w:rsidRDefault="00292227" w:rsidP="00467694">
      <w:r>
        <w:t>Notes:</w:t>
      </w:r>
      <w:r w:rsidR="009319FE">
        <w:t xml:space="preserve"> All results are weig</w:t>
      </w:r>
      <w:r w:rsidR="00376947">
        <w:t xml:space="preserve">hted.  Other </w:t>
      </w:r>
      <w:proofErr w:type="spellStart"/>
      <w:r w:rsidR="00376947">
        <w:t>regressors</w:t>
      </w:r>
      <w:proofErr w:type="spellEnd"/>
      <w:r w:rsidR="00376947">
        <w:t xml:space="preserve"> included are age category indicators, wave indicators, and young adult gender</w:t>
      </w:r>
      <w:r w:rsidR="00803282">
        <w:t>.</w:t>
      </w:r>
      <w:r w:rsidR="00FB538B">
        <w:t xml:space="preserve">  Financial measures are included as a </w:t>
      </w:r>
      <w:proofErr w:type="spellStart"/>
      <w:r w:rsidR="00FB538B">
        <w:t>quartic</w:t>
      </w:r>
      <w:proofErr w:type="spellEnd"/>
      <w:r w:rsidR="00FB538B">
        <w:t>.</w:t>
      </w:r>
    </w:p>
    <w:p w:rsidR="002104FF" w:rsidRDefault="002104FF" w:rsidP="00467694"/>
    <w:p w:rsidR="008F5D6B" w:rsidRDefault="008F5D6B" w:rsidP="00467694"/>
    <w:p w:rsidR="002104FF" w:rsidRDefault="002104FF">
      <w:r>
        <w:br w:type="page"/>
      </w:r>
    </w:p>
    <w:p w:rsidR="00135475" w:rsidRDefault="00135475" w:rsidP="00EC07A6">
      <w:pPr>
        <w:jc w:val="center"/>
      </w:pPr>
      <w:r>
        <w:lastRenderedPageBreak/>
        <w:t>Figure 1: College Attendance versus Income and Wealth, PSID</w:t>
      </w:r>
    </w:p>
    <w:p w:rsidR="007B71FC" w:rsidRDefault="00650548" w:rsidP="006829E7">
      <w:pPr>
        <w:jc w:val="center"/>
      </w:pPr>
      <w:r>
        <w:rPr>
          <w:noProof/>
        </w:rPr>
        <w:drawing>
          <wp:inline distT="0" distB="0" distL="0" distR="0">
            <wp:extent cx="4684395" cy="6513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684395" cy="6513195"/>
                    </a:xfrm>
                    <a:prstGeom prst="rect">
                      <a:avLst/>
                    </a:prstGeom>
                    <a:noFill/>
                    <a:ln w="9525">
                      <a:noFill/>
                      <a:miter lim="800000"/>
                      <a:headEnd/>
                      <a:tailEnd/>
                    </a:ln>
                  </pic:spPr>
                </pic:pic>
              </a:graphicData>
            </a:graphic>
          </wp:inline>
        </w:drawing>
      </w:r>
    </w:p>
    <w:p w:rsidR="00DB0D0B" w:rsidRDefault="00135475">
      <w:r>
        <w:t xml:space="preserve">Notes: </w:t>
      </w:r>
      <w:r w:rsidR="006C2918">
        <w:t xml:space="preserve">These results are based on the 3,677 young adults in the PSID </w:t>
      </w:r>
      <w:r w:rsidR="003E3E17">
        <w:t>Full</w:t>
      </w:r>
      <w:r w:rsidR="006C2918">
        <w:t xml:space="preserve"> Sample.  </w:t>
      </w:r>
      <w:r>
        <w:t>The vertical lines denote the 10</w:t>
      </w:r>
      <w:r w:rsidRPr="00135475">
        <w:rPr>
          <w:vertAlign w:val="superscript"/>
        </w:rPr>
        <w:t>th</w:t>
      </w:r>
      <w:r>
        <w:t>, 25</w:t>
      </w:r>
      <w:r w:rsidRPr="00135475">
        <w:rPr>
          <w:vertAlign w:val="superscript"/>
        </w:rPr>
        <w:t>th</w:t>
      </w:r>
      <w:r>
        <w:t>, 50</w:t>
      </w:r>
      <w:r w:rsidRPr="00135475">
        <w:rPr>
          <w:vertAlign w:val="superscript"/>
        </w:rPr>
        <w:t>th</w:t>
      </w:r>
      <w:r>
        <w:t>, 75</w:t>
      </w:r>
      <w:r w:rsidRPr="00135475">
        <w:rPr>
          <w:vertAlign w:val="superscript"/>
        </w:rPr>
        <w:t>th</w:t>
      </w:r>
      <w:r>
        <w:t>, and 90</w:t>
      </w:r>
      <w:r w:rsidRPr="00135475">
        <w:rPr>
          <w:vertAlign w:val="superscript"/>
        </w:rPr>
        <w:t>th</w:t>
      </w:r>
      <w:r>
        <w:t xml:space="preserve"> percentiles of each distribution.  </w:t>
      </w:r>
      <w:r w:rsidR="003E194E">
        <w:t xml:space="preserve">The </w:t>
      </w:r>
      <w:r w:rsidR="0061124C">
        <w:t>“L</w:t>
      </w:r>
      <w:r w:rsidR="00FC0BCB">
        <w:t>ocal</w:t>
      </w:r>
      <w:r w:rsidR="0061124C">
        <w:t>”</w:t>
      </w:r>
      <w:r w:rsidR="00FC0BCB">
        <w:t xml:space="preserve"> </w:t>
      </w:r>
      <w:r w:rsidR="00FC5350">
        <w:t>curves</w:t>
      </w:r>
      <w:r w:rsidR="00FC0BCB">
        <w:t xml:space="preserve"> </w:t>
      </w:r>
      <w:r w:rsidR="00FC5350">
        <w:t xml:space="preserve">are </w:t>
      </w:r>
      <w:r w:rsidR="00FC0BCB">
        <w:t>based on local linear regression</w:t>
      </w:r>
      <w:r w:rsidR="00FC5350">
        <w:t>s</w:t>
      </w:r>
      <w:r w:rsidR="003E194E">
        <w:t>.</w:t>
      </w:r>
      <w:r w:rsidR="005F15B6">
        <w:t xml:space="preserve">  The</w:t>
      </w:r>
      <w:r w:rsidR="0061124C">
        <w:t xml:space="preserve"> “</w:t>
      </w:r>
      <w:proofErr w:type="spellStart"/>
      <w:r w:rsidR="0061124C">
        <w:t>Quartic</w:t>
      </w:r>
      <w:proofErr w:type="spellEnd"/>
      <w:r w:rsidR="0061124C">
        <w:t xml:space="preserve">” </w:t>
      </w:r>
      <w:r w:rsidR="0026237E">
        <w:t xml:space="preserve">curves </w:t>
      </w:r>
      <w:r w:rsidR="0061124C">
        <w:t xml:space="preserve">include a </w:t>
      </w:r>
      <w:proofErr w:type="spellStart"/>
      <w:r w:rsidR="0061124C">
        <w:t>quartic</w:t>
      </w:r>
      <w:proofErr w:type="spellEnd"/>
      <w:r w:rsidR="0061124C">
        <w:t xml:space="preserve"> in the financial resource being considered.  The “</w:t>
      </w:r>
      <w:proofErr w:type="spellStart"/>
      <w:r w:rsidR="0061124C">
        <w:t>Quartic</w:t>
      </w:r>
      <w:proofErr w:type="spellEnd"/>
      <w:r w:rsidR="0061124C">
        <w:t xml:space="preserve"> with X’s” </w:t>
      </w:r>
      <w:r w:rsidR="0026237E">
        <w:t xml:space="preserve">curves </w:t>
      </w:r>
      <w:r w:rsidR="0061124C">
        <w:t xml:space="preserve">include a </w:t>
      </w:r>
      <w:proofErr w:type="spellStart"/>
      <w:r w:rsidR="0061124C">
        <w:t>quartic</w:t>
      </w:r>
      <w:proofErr w:type="spellEnd"/>
      <w:r w:rsidR="0061124C">
        <w:t xml:space="preserve"> in both financial resources and the </w:t>
      </w:r>
      <w:r w:rsidR="005F15B6">
        <w:t xml:space="preserve">additional covariates </w:t>
      </w:r>
      <w:r w:rsidR="00EB5D9A">
        <w:t>listed in the text</w:t>
      </w:r>
      <w:r w:rsidR="005F15B6">
        <w:t>.</w:t>
      </w:r>
      <w:r w:rsidR="00DB0D0B">
        <w:br w:type="page"/>
      </w:r>
    </w:p>
    <w:p w:rsidR="0026237E" w:rsidRDefault="006829E7" w:rsidP="00A769A7">
      <w:pPr>
        <w:jc w:val="center"/>
      </w:pPr>
      <w:r>
        <w:lastRenderedPageBreak/>
        <w:t>Figure 2</w:t>
      </w:r>
      <w:r w:rsidR="0026237E">
        <w:t xml:space="preserve">: College </w:t>
      </w:r>
      <w:r w:rsidR="00712B26">
        <w:t>A</w:t>
      </w:r>
      <w:r w:rsidR="0026237E">
        <w:t xml:space="preserve">ttendance and </w:t>
      </w:r>
      <w:r w:rsidR="00712B26">
        <w:t>C</w:t>
      </w:r>
      <w:r w:rsidR="0026237E">
        <w:t xml:space="preserve">ompletion by </w:t>
      </w:r>
      <w:r w:rsidR="00712B26">
        <w:t>I</w:t>
      </w:r>
      <w:r w:rsidR="0026237E">
        <w:t xml:space="preserve">ncome and </w:t>
      </w:r>
      <w:r w:rsidR="00DC0817">
        <w:t>Wealth</w:t>
      </w:r>
      <w:r w:rsidR="0026237E">
        <w:t>, PSID</w:t>
      </w:r>
    </w:p>
    <w:p w:rsidR="0026237E" w:rsidRDefault="00563976" w:rsidP="006829E7">
      <w:pPr>
        <w:jc w:val="center"/>
      </w:pPr>
      <w:r>
        <w:rPr>
          <w:noProof/>
        </w:rPr>
        <w:drawing>
          <wp:inline distT="0" distB="0" distL="0" distR="0">
            <wp:extent cx="4684395" cy="651319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684395" cy="6513195"/>
                    </a:xfrm>
                    <a:prstGeom prst="rect">
                      <a:avLst/>
                    </a:prstGeom>
                    <a:noFill/>
                    <a:ln w="9525">
                      <a:noFill/>
                      <a:miter lim="800000"/>
                      <a:headEnd/>
                      <a:tailEnd/>
                    </a:ln>
                  </pic:spPr>
                </pic:pic>
              </a:graphicData>
            </a:graphic>
          </wp:inline>
        </w:drawing>
      </w:r>
    </w:p>
    <w:p w:rsidR="0026237E" w:rsidRDefault="0026237E" w:rsidP="0026237E">
      <w:r>
        <w:t xml:space="preserve">Notes: </w:t>
      </w:r>
      <w:r w:rsidR="004A0844">
        <w:t xml:space="preserve">These results are based on the </w:t>
      </w:r>
      <w:r w:rsidR="00D4128C">
        <w:t>2,461</w:t>
      </w:r>
      <w:r w:rsidR="004A0844">
        <w:t xml:space="preserve"> young adults in the PSID </w:t>
      </w:r>
      <w:r w:rsidR="00ED5887">
        <w:t>Full</w:t>
      </w:r>
      <w:r w:rsidR="004A0844">
        <w:t xml:space="preserve"> Sample</w:t>
      </w:r>
      <w:r w:rsidR="00C77777">
        <w:t xml:space="preserve"> who reach aged 25 by the end of our sample period</w:t>
      </w:r>
      <w:r w:rsidR="004A0844">
        <w:t xml:space="preserve">. </w:t>
      </w:r>
      <w:r>
        <w:t>The vertical lines denote the 10</w:t>
      </w:r>
      <w:r w:rsidRPr="00135475">
        <w:rPr>
          <w:vertAlign w:val="superscript"/>
        </w:rPr>
        <w:t>th</w:t>
      </w:r>
      <w:r>
        <w:t>, 25</w:t>
      </w:r>
      <w:r w:rsidRPr="00135475">
        <w:rPr>
          <w:vertAlign w:val="superscript"/>
        </w:rPr>
        <w:t>th</w:t>
      </w:r>
      <w:r>
        <w:t>, 50</w:t>
      </w:r>
      <w:r w:rsidRPr="00135475">
        <w:rPr>
          <w:vertAlign w:val="superscript"/>
        </w:rPr>
        <w:t>th</w:t>
      </w:r>
      <w:r>
        <w:t>, 75</w:t>
      </w:r>
      <w:r w:rsidRPr="00135475">
        <w:rPr>
          <w:vertAlign w:val="superscript"/>
        </w:rPr>
        <w:t>th</w:t>
      </w:r>
      <w:r>
        <w:t>, and 90</w:t>
      </w:r>
      <w:r w:rsidRPr="00135475">
        <w:rPr>
          <w:vertAlign w:val="superscript"/>
        </w:rPr>
        <w:t>th</w:t>
      </w:r>
      <w:r>
        <w:t xml:space="preserve"> percentiles of each distribution.  All curves are based on local linear regressions.</w:t>
      </w:r>
      <w:r w:rsidR="001E7FF7">
        <w:t xml:space="preserve">  The “Any” curves the fraction of the sample that completed any college.  The “Completed&lt;4” curves show the fraction of the sample that attended college and completed less than four years.  The “Completed&gt;=4” curves show the fraction of the sample that attended college and completed at least four years.</w:t>
      </w:r>
    </w:p>
    <w:p w:rsidR="0026237E" w:rsidRDefault="0026237E">
      <w:r>
        <w:br w:type="page"/>
      </w:r>
    </w:p>
    <w:p w:rsidR="00DE6260" w:rsidRDefault="00DE6260" w:rsidP="00712B26">
      <w:pPr>
        <w:jc w:val="center"/>
        <w:rPr>
          <w:noProof/>
        </w:rPr>
      </w:pPr>
      <w:r>
        <w:lastRenderedPageBreak/>
        <w:t xml:space="preserve">Figure </w:t>
      </w:r>
      <w:r w:rsidR="00444D9B">
        <w:t>3</w:t>
      </w:r>
      <w:r>
        <w:t xml:space="preserve">: College </w:t>
      </w:r>
      <w:r w:rsidR="00712B26">
        <w:t>A</w:t>
      </w:r>
      <w:r>
        <w:t xml:space="preserve">ttendance versus </w:t>
      </w:r>
      <w:r w:rsidR="00712B26">
        <w:t>I</w:t>
      </w:r>
      <w:r>
        <w:t xml:space="preserve">ncome and </w:t>
      </w:r>
      <w:r w:rsidR="00DC0817">
        <w:t>Wealth</w:t>
      </w:r>
      <w:r>
        <w:t>, HRS</w:t>
      </w:r>
    </w:p>
    <w:p w:rsidR="006A607F" w:rsidRDefault="00285264" w:rsidP="00EB5D9A">
      <w:pPr>
        <w:jc w:val="center"/>
      </w:pPr>
      <w:r>
        <w:rPr>
          <w:noProof/>
        </w:rPr>
        <w:drawing>
          <wp:inline distT="0" distB="0" distL="0" distR="0">
            <wp:extent cx="4684395" cy="651319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684395" cy="6513195"/>
                    </a:xfrm>
                    <a:prstGeom prst="rect">
                      <a:avLst/>
                    </a:prstGeom>
                    <a:noFill/>
                    <a:ln w="9525">
                      <a:noFill/>
                      <a:miter lim="800000"/>
                      <a:headEnd/>
                      <a:tailEnd/>
                    </a:ln>
                  </pic:spPr>
                </pic:pic>
              </a:graphicData>
            </a:graphic>
          </wp:inline>
        </w:drawing>
      </w:r>
    </w:p>
    <w:p w:rsidR="00DE6260" w:rsidRDefault="00244450" w:rsidP="00DE6260">
      <w:r>
        <w:t>Notes: The vertical lines denote the 10</w:t>
      </w:r>
      <w:r w:rsidRPr="00135475">
        <w:rPr>
          <w:vertAlign w:val="superscript"/>
        </w:rPr>
        <w:t>th</w:t>
      </w:r>
      <w:r>
        <w:t>, 25</w:t>
      </w:r>
      <w:r w:rsidRPr="00135475">
        <w:rPr>
          <w:vertAlign w:val="superscript"/>
        </w:rPr>
        <w:t>th</w:t>
      </w:r>
      <w:r>
        <w:t>, 50</w:t>
      </w:r>
      <w:r w:rsidRPr="00135475">
        <w:rPr>
          <w:vertAlign w:val="superscript"/>
        </w:rPr>
        <w:t>th</w:t>
      </w:r>
      <w:r>
        <w:t>, 75</w:t>
      </w:r>
      <w:r w:rsidRPr="00135475">
        <w:rPr>
          <w:vertAlign w:val="superscript"/>
        </w:rPr>
        <w:t>th</w:t>
      </w:r>
      <w:r>
        <w:t>, and 90</w:t>
      </w:r>
      <w:r w:rsidRPr="00135475">
        <w:rPr>
          <w:vertAlign w:val="superscript"/>
        </w:rPr>
        <w:t>th</w:t>
      </w:r>
      <w:r>
        <w:t xml:space="preserve"> percentiles of each distribution.  The “Local” curves are based on local linear regressions.  The “</w:t>
      </w:r>
      <w:proofErr w:type="spellStart"/>
      <w:r>
        <w:t>Quartic</w:t>
      </w:r>
      <w:proofErr w:type="spellEnd"/>
      <w:r>
        <w:t xml:space="preserve">” curves include a </w:t>
      </w:r>
      <w:proofErr w:type="spellStart"/>
      <w:r>
        <w:t>quartic</w:t>
      </w:r>
      <w:proofErr w:type="spellEnd"/>
      <w:r>
        <w:t xml:space="preserve"> in the financial resource being considered.  The “</w:t>
      </w:r>
      <w:proofErr w:type="spellStart"/>
      <w:r>
        <w:t>Quartic</w:t>
      </w:r>
      <w:proofErr w:type="spellEnd"/>
      <w:r>
        <w:t xml:space="preserve"> with X’s” curves include a </w:t>
      </w:r>
      <w:proofErr w:type="spellStart"/>
      <w:r>
        <w:t>quartic</w:t>
      </w:r>
      <w:proofErr w:type="spellEnd"/>
      <w:r>
        <w:t xml:space="preserve"> in both financial resources and the additional covariates listed in the text.</w:t>
      </w:r>
    </w:p>
    <w:p w:rsidR="00CB0091" w:rsidRDefault="00CB0091" w:rsidP="00DE6260"/>
    <w:p w:rsidR="00CB0091" w:rsidRDefault="00CB0091" w:rsidP="00DE6260"/>
    <w:p w:rsidR="00A026D0" w:rsidRDefault="00A026D0">
      <w:r>
        <w:br w:type="page"/>
      </w:r>
    </w:p>
    <w:p w:rsidR="00712B26" w:rsidRDefault="00712B26" w:rsidP="00712B26">
      <w:pPr>
        <w:jc w:val="center"/>
      </w:pPr>
      <w:r>
        <w:lastRenderedPageBreak/>
        <w:t xml:space="preserve">Figure 4: College Attendance and Completion by Income and </w:t>
      </w:r>
      <w:r w:rsidR="00DC0817">
        <w:t>Wealth</w:t>
      </w:r>
      <w:r>
        <w:t>, HRS</w:t>
      </w:r>
    </w:p>
    <w:p w:rsidR="00CB0091" w:rsidRDefault="00FF5142" w:rsidP="00244450">
      <w:pPr>
        <w:jc w:val="center"/>
      </w:pPr>
      <w:r>
        <w:rPr>
          <w:noProof/>
        </w:rPr>
        <w:drawing>
          <wp:inline distT="0" distB="0" distL="0" distR="0">
            <wp:extent cx="4684395" cy="6513195"/>
            <wp:effectExtent l="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684395" cy="6513195"/>
                    </a:xfrm>
                    <a:prstGeom prst="rect">
                      <a:avLst/>
                    </a:prstGeom>
                    <a:noFill/>
                    <a:ln w="9525">
                      <a:noFill/>
                      <a:miter lim="800000"/>
                      <a:headEnd/>
                      <a:tailEnd/>
                    </a:ln>
                  </pic:spPr>
                </pic:pic>
              </a:graphicData>
            </a:graphic>
          </wp:inline>
        </w:drawing>
      </w:r>
    </w:p>
    <w:p w:rsidR="00FC5350" w:rsidRDefault="00FC5350" w:rsidP="00FC5350">
      <w:r>
        <w:t>Notes: The vertical lines denote the 10</w:t>
      </w:r>
      <w:r w:rsidRPr="00135475">
        <w:rPr>
          <w:vertAlign w:val="superscript"/>
        </w:rPr>
        <w:t>th</w:t>
      </w:r>
      <w:r>
        <w:t>, 25</w:t>
      </w:r>
      <w:r w:rsidRPr="00135475">
        <w:rPr>
          <w:vertAlign w:val="superscript"/>
        </w:rPr>
        <w:t>th</w:t>
      </w:r>
      <w:r>
        <w:t>, 50</w:t>
      </w:r>
      <w:r w:rsidRPr="00135475">
        <w:rPr>
          <w:vertAlign w:val="superscript"/>
        </w:rPr>
        <w:t>th</w:t>
      </w:r>
      <w:r>
        <w:t>, 75</w:t>
      </w:r>
      <w:r w:rsidRPr="00135475">
        <w:rPr>
          <w:vertAlign w:val="superscript"/>
        </w:rPr>
        <w:t>th</w:t>
      </w:r>
      <w:r>
        <w:t>, and 90</w:t>
      </w:r>
      <w:r w:rsidRPr="00135475">
        <w:rPr>
          <w:vertAlign w:val="superscript"/>
        </w:rPr>
        <w:t>th</w:t>
      </w:r>
      <w:r>
        <w:t xml:space="preserve"> percentiles of each distribution.  All curves are based on local linear regressions.</w:t>
      </w:r>
      <w:r w:rsidR="001E7FF7">
        <w:t xml:space="preserve">  The “Any” curves the fraction of the sample that completed any college.  The “Completed&lt;4” curves show the fraction of the sample that attended college and completed less than four years.  The “Completed&gt;=4” curves show the fraction of the sample that attended college and completed at least four years.</w:t>
      </w:r>
    </w:p>
    <w:p w:rsidR="00621AE0" w:rsidRDefault="00621AE0">
      <w:r>
        <w:br w:type="page"/>
      </w:r>
    </w:p>
    <w:p w:rsidR="009B145C" w:rsidRDefault="009B145C" w:rsidP="006C5C0A">
      <w:pPr>
        <w:jc w:val="center"/>
      </w:pPr>
      <w:r>
        <w:lastRenderedPageBreak/>
        <w:t xml:space="preserve">Figure 5: </w:t>
      </w:r>
      <w:r w:rsidR="000D3D04">
        <w:t>Type of Co</w:t>
      </w:r>
      <w:r w:rsidR="002B0D5B">
        <w:t xml:space="preserve">llege Attendance </w:t>
      </w:r>
      <w:r w:rsidR="00A769A7">
        <w:t>versus</w:t>
      </w:r>
      <w:r w:rsidR="002B0D5B">
        <w:t xml:space="preserve"> Income by GPA Tercile</w:t>
      </w:r>
      <w:r>
        <w:t xml:space="preserve">, </w:t>
      </w:r>
      <w:r w:rsidR="000D3D04">
        <w:t>PSID</w:t>
      </w:r>
    </w:p>
    <w:p w:rsidR="009B145C" w:rsidRDefault="009B145C" w:rsidP="009B145C">
      <w:pPr>
        <w:jc w:val="center"/>
      </w:pPr>
    </w:p>
    <w:p w:rsidR="009B145C" w:rsidRDefault="0037274E" w:rsidP="0037274E">
      <w:pPr>
        <w:jc w:val="center"/>
      </w:pPr>
      <w:r>
        <w:rPr>
          <w:noProof/>
        </w:rPr>
        <w:drawing>
          <wp:inline distT="0" distB="0" distL="0" distR="0">
            <wp:extent cx="3743960" cy="648716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3743960" cy="6487160"/>
                    </a:xfrm>
                    <a:prstGeom prst="rect">
                      <a:avLst/>
                    </a:prstGeom>
                    <a:noFill/>
                    <a:ln w="9525">
                      <a:noFill/>
                      <a:miter lim="800000"/>
                      <a:headEnd/>
                      <a:tailEnd/>
                    </a:ln>
                  </pic:spPr>
                </pic:pic>
              </a:graphicData>
            </a:graphic>
          </wp:inline>
        </w:drawing>
      </w:r>
    </w:p>
    <w:p w:rsidR="00001B0F" w:rsidRDefault="00001B0F" w:rsidP="009B145C"/>
    <w:p w:rsidR="009B145C" w:rsidRDefault="009B145C" w:rsidP="009B145C">
      <w:r>
        <w:t>Notes:</w:t>
      </w:r>
      <w:r w:rsidR="00A769A7">
        <w:t xml:space="preserve"> </w:t>
      </w:r>
      <w:r w:rsidR="00F77B01">
        <w:t>These results are based on the 6</w:t>
      </w:r>
      <w:r w:rsidR="00F61581">
        <w:t>46</w:t>
      </w:r>
      <w:r w:rsidR="00F77B01">
        <w:t xml:space="preserve"> young adults in the PSID TA Sample.  Each panel is based on a </w:t>
      </w:r>
      <w:proofErr w:type="spellStart"/>
      <w:r w:rsidR="00F77B01">
        <w:t>logit</w:t>
      </w:r>
      <w:proofErr w:type="spellEnd"/>
      <w:r w:rsidR="00F77B01">
        <w:t xml:space="preserve"> of the specified outcome on income, </w:t>
      </w:r>
      <w:r w:rsidR="00001B0F">
        <w:t xml:space="preserve">GPA tercile indicators, and income </w:t>
      </w:r>
      <w:r w:rsidR="00F77B01">
        <w:t>interacted with the GPA tercile</w:t>
      </w:r>
      <w:r w:rsidR="00001B0F">
        <w:t xml:space="preserve"> indicators</w:t>
      </w:r>
      <w:r>
        <w:t>.</w:t>
      </w:r>
      <w:r w:rsidR="00437224">
        <w:t xml:space="preserve">  The vertical lines denote the 10</w:t>
      </w:r>
      <w:r w:rsidR="00437224" w:rsidRPr="00135475">
        <w:rPr>
          <w:vertAlign w:val="superscript"/>
        </w:rPr>
        <w:t>th</w:t>
      </w:r>
      <w:r w:rsidR="00437224">
        <w:t>, 25</w:t>
      </w:r>
      <w:r w:rsidR="00437224" w:rsidRPr="00135475">
        <w:rPr>
          <w:vertAlign w:val="superscript"/>
        </w:rPr>
        <w:t>th</w:t>
      </w:r>
      <w:r w:rsidR="00437224">
        <w:t>, 50</w:t>
      </w:r>
      <w:r w:rsidR="00437224" w:rsidRPr="00135475">
        <w:rPr>
          <w:vertAlign w:val="superscript"/>
        </w:rPr>
        <w:t>th</w:t>
      </w:r>
      <w:r w:rsidR="00437224">
        <w:t>, 75</w:t>
      </w:r>
      <w:r w:rsidR="00437224" w:rsidRPr="00135475">
        <w:rPr>
          <w:vertAlign w:val="superscript"/>
        </w:rPr>
        <w:t>th</w:t>
      </w:r>
      <w:r w:rsidR="00437224">
        <w:t>, and 90</w:t>
      </w:r>
      <w:r w:rsidR="00437224" w:rsidRPr="00135475">
        <w:rPr>
          <w:vertAlign w:val="superscript"/>
        </w:rPr>
        <w:t>th</w:t>
      </w:r>
      <w:r w:rsidR="00437224">
        <w:t xml:space="preserve"> percentiles of the income distribution.</w:t>
      </w:r>
    </w:p>
    <w:p w:rsidR="009B145C" w:rsidRDefault="009B145C" w:rsidP="00DE49E9">
      <w:pPr>
        <w:jc w:val="center"/>
      </w:pPr>
    </w:p>
    <w:p w:rsidR="009B145C" w:rsidRDefault="009B145C">
      <w:r>
        <w:br w:type="page"/>
      </w:r>
    </w:p>
    <w:p w:rsidR="0099198C" w:rsidRDefault="0099198C" w:rsidP="0099198C">
      <w:pPr>
        <w:jc w:val="center"/>
      </w:pPr>
      <w:r>
        <w:lastRenderedPageBreak/>
        <w:t xml:space="preserve">Figure </w:t>
      </w:r>
      <w:r w:rsidR="00232FF0">
        <w:t>6</w:t>
      </w:r>
      <w:r>
        <w:t>: Sensitivity of GPA Tercile Results, PSID</w:t>
      </w:r>
    </w:p>
    <w:p w:rsidR="0099198C" w:rsidRDefault="00650548" w:rsidP="0099198C">
      <w:pPr>
        <w:jc w:val="center"/>
      </w:pPr>
      <w:r>
        <w:rPr>
          <w:noProof/>
        </w:rPr>
        <w:drawing>
          <wp:inline distT="0" distB="0" distL="0" distR="0">
            <wp:extent cx="4684395" cy="651319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684395" cy="6513195"/>
                    </a:xfrm>
                    <a:prstGeom prst="rect">
                      <a:avLst/>
                    </a:prstGeom>
                    <a:noFill/>
                    <a:ln w="9525">
                      <a:noFill/>
                      <a:miter lim="800000"/>
                      <a:headEnd/>
                      <a:tailEnd/>
                    </a:ln>
                  </pic:spPr>
                </pic:pic>
              </a:graphicData>
            </a:graphic>
          </wp:inline>
        </w:drawing>
      </w:r>
    </w:p>
    <w:p w:rsidR="00823B14" w:rsidRDefault="00001B0F">
      <w:r w:rsidRPr="009739AA">
        <w:t>Notes: These results are based on the 6</w:t>
      </w:r>
      <w:r w:rsidR="00F61581" w:rsidRPr="009739AA">
        <w:t>46</w:t>
      </w:r>
      <w:r w:rsidRPr="009739AA">
        <w:t xml:space="preserve"> young adults in the PSID TA Sample.  Each panel is based on a </w:t>
      </w:r>
      <w:proofErr w:type="spellStart"/>
      <w:r w:rsidRPr="009739AA">
        <w:t>logit</w:t>
      </w:r>
      <w:proofErr w:type="spellEnd"/>
      <w:r w:rsidRPr="009739AA">
        <w:t>.  Panel</w:t>
      </w:r>
      <w:r w:rsidR="005362CA" w:rsidRPr="009739AA">
        <w:t>s</w:t>
      </w:r>
      <w:r w:rsidRPr="009739AA">
        <w:t xml:space="preserve"> A</w:t>
      </w:r>
      <w:r w:rsidR="005362CA" w:rsidRPr="009739AA">
        <w:t>1 (A2)</w:t>
      </w:r>
      <w:r w:rsidRPr="009739AA">
        <w:t xml:space="preserve"> </w:t>
      </w:r>
      <w:r w:rsidR="00F664E9" w:rsidRPr="009739AA">
        <w:t xml:space="preserve">specifies the </w:t>
      </w:r>
      <w:r w:rsidR="005362CA" w:rsidRPr="009739AA">
        <w:t>explanatory variables to be linear in income (wealth)</w:t>
      </w:r>
      <w:r w:rsidR="00F664E9" w:rsidRPr="009739AA">
        <w:t xml:space="preserve"> and its interactions with GPA tercile indicators</w:t>
      </w:r>
      <w:r w:rsidRPr="009739AA">
        <w:t xml:space="preserve">.  </w:t>
      </w:r>
      <w:r w:rsidR="00F664E9" w:rsidRPr="009739AA">
        <w:t>Panel B</w:t>
      </w:r>
      <w:r w:rsidR="005362CA" w:rsidRPr="009739AA">
        <w:t>1 (B2)</w:t>
      </w:r>
      <w:r w:rsidR="00F664E9" w:rsidRPr="009739AA">
        <w:t xml:space="preserve"> specifies the explanatory variables to </w:t>
      </w:r>
      <w:r w:rsidR="00E72DE4" w:rsidRPr="009739AA">
        <w:t xml:space="preserve">be quadratic in income (wealth) and its interactions with GPA tercile indicators.  </w:t>
      </w:r>
      <w:r w:rsidR="00B33CE0" w:rsidRPr="009739AA">
        <w:t xml:space="preserve">Panels </w:t>
      </w:r>
      <w:r w:rsidR="00E72DE4" w:rsidRPr="009739AA">
        <w:t xml:space="preserve">C1 and C2 </w:t>
      </w:r>
      <w:r w:rsidR="00B33CE0" w:rsidRPr="009739AA">
        <w:t xml:space="preserve">are based on a single </w:t>
      </w:r>
      <w:proofErr w:type="spellStart"/>
      <w:r w:rsidR="00B33CE0" w:rsidRPr="009739AA">
        <w:t>logit</w:t>
      </w:r>
      <w:proofErr w:type="spellEnd"/>
      <w:r w:rsidR="00B33CE0" w:rsidRPr="009739AA">
        <w:t xml:space="preserve"> model that includes both income and </w:t>
      </w:r>
      <w:r w:rsidR="00DC0817" w:rsidRPr="009739AA">
        <w:t>wealth</w:t>
      </w:r>
      <w:r w:rsidR="00B33CE0" w:rsidRPr="009739AA">
        <w:t xml:space="preserve"> and their interactions with GPA </w:t>
      </w:r>
      <w:proofErr w:type="spellStart"/>
      <w:r w:rsidR="00B33CE0" w:rsidRPr="009739AA">
        <w:t>terciles</w:t>
      </w:r>
      <w:proofErr w:type="spellEnd"/>
      <w:r w:rsidR="00B33CE0" w:rsidRPr="009739AA">
        <w:t>.</w:t>
      </w:r>
    </w:p>
    <w:p w:rsidR="00690775" w:rsidRDefault="00690775"/>
    <w:sectPr w:rsidR="00690775" w:rsidSect="00253017">
      <w:headerReference w:type="default" r:id="rId17"/>
      <w:footerReference w:type="even" r:id="rId18"/>
      <w:footerReference w:type="default" r:id="rId19"/>
      <w:headerReference w:type="first" r:id="rId20"/>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164" w:rsidRDefault="006A0164">
      <w:r>
        <w:separator/>
      </w:r>
    </w:p>
  </w:endnote>
  <w:endnote w:type="continuationSeparator" w:id="0">
    <w:p w:rsidR="006A0164" w:rsidRDefault="006A016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29" w:rsidRDefault="00B9662B" w:rsidP="00C4364E">
    <w:pPr>
      <w:pStyle w:val="Footer"/>
      <w:framePr w:wrap="around" w:vAnchor="text" w:hAnchor="margin" w:xAlign="center" w:y="1"/>
      <w:rPr>
        <w:rStyle w:val="PageNumber"/>
      </w:rPr>
    </w:pPr>
    <w:r>
      <w:rPr>
        <w:rStyle w:val="PageNumber"/>
      </w:rPr>
      <w:fldChar w:fldCharType="begin"/>
    </w:r>
    <w:r w:rsidR="00811A29">
      <w:rPr>
        <w:rStyle w:val="PageNumber"/>
      </w:rPr>
      <w:instrText xml:space="preserve">PAGE  </w:instrText>
    </w:r>
    <w:r>
      <w:rPr>
        <w:rStyle w:val="PageNumber"/>
      </w:rPr>
      <w:fldChar w:fldCharType="end"/>
    </w:r>
  </w:p>
  <w:p w:rsidR="00811A29" w:rsidRDefault="00811A29" w:rsidP="00C4364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29" w:rsidRDefault="00B9662B" w:rsidP="00C4364E">
    <w:pPr>
      <w:pStyle w:val="Footer"/>
      <w:framePr w:wrap="around" w:vAnchor="text" w:hAnchor="margin" w:xAlign="center" w:y="1"/>
      <w:rPr>
        <w:rStyle w:val="PageNumber"/>
      </w:rPr>
    </w:pPr>
    <w:r>
      <w:rPr>
        <w:rStyle w:val="PageNumber"/>
      </w:rPr>
      <w:fldChar w:fldCharType="begin"/>
    </w:r>
    <w:r w:rsidR="00811A29">
      <w:rPr>
        <w:rStyle w:val="PageNumber"/>
      </w:rPr>
      <w:instrText xml:space="preserve">PAGE  </w:instrText>
    </w:r>
    <w:r>
      <w:rPr>
        <w:rStyle w:val="PageNumber"/>
      </w:rPr>
      <w:fldChar w:fldCharType="separate"/>
    </w:r>
    <w:r w:rsidR="00F1329F">
      <w:rPr>
        <w:rStyle w:val="PageNumber"/>
        <w:noProof/>
      </w:rPr>
      <w:t>28</w:t>
    </w:r>
    <w:r>
      <w:rPr>
        <w:rStyle w:val="PageNumber"/>
      </w:rPr>
      <w:fldChar w:fldCharType="end"/>
    </w:r>
  </w:p>
  <w:p w:rsidR="00811A29" w:rsidRDefault="00811A29" w:rsidP="00C4364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164" w:rsidRDefault="006A0164">
      <w:r>
        <w:separator/>
      </w:r>
    </w:p>
  </w:footnote>
  <w:footnote w:type="continuationSeparator" w:id="0">
    <w:p w:rsidR="006A0164" w:rsidRDefault="006A0164">
      <w:r>
        <w:continuationSeparator/>
      </w:r>
    </w:p>
  </w:footnote>
  <w:footnote w:id="1">
    <w:p w:rsidR="00811A29" w:rsidRDefault="00811A29">
      <w:pPr>
        <w:pStyle w:val="FootnoteText"/>
      </w:pPr>
      <w:r>
        <w:rPr>
          <w:rStyle w:val="FootnoteReference"/>
        </w:rPr>
        <w:footnoteRef/>
      </w:r>
      <w:r>
        <w:t xml:space="preserve"> Numerous recent papers have examined inequality and the persistence of inequality, including </w:t>
      </w:r>
      <w:proofErr w:type="spellStart"/>
      <w:r>
        <w:t>Pickety</w:t>
      </w:r>
      <w:proofErr w:type="spellEnd"/>
      <w:r>
        <w:t xml:space="preserve"> and </w:t>
      </w:r>
      <w:proofErr w:type="spellStart"/>
      <w:r>
        <w:t>Saez</w:t>
      </w:r>
      <w:proofErr w:type="spellEnd"/>
      <w:r>
        <w:t xml:space="preserve"> (2003); </w:t>
      </w:r>
      <w:proofErr w:type="spellStart"/>
      <w:r>
        <w:t>Saez</w:t>
      </w:r>
      <w:proofErr w:type="spellEnd"/>
      <w:r>
        <w:t xml:space="preserve">, </w:t>
      </w:r>
      <w:proofErr w:type="spellStart"/>
      <w:r>
        <w:t>Kopczuk</w:t>
      </w:r>
      <w:proofErr w:type="spellEnd"/>
      <w:r>
        <w:t xml:space="preserve"> and Song (2010); and</w:t>
      </w:r>
      <w:r w:rsidRPr="00194A14">
        <w:t xml:space="preserve"> </w:t>
      </w:r>
      <w:proofErr w:type="spellStart"/>
      <w:r>
        <w:t>Chetty</w:t>
      </w:r>
      <w:proofErr w:type="spellEnd"/>
      <w:r>
        <w:t xml:space="preserve">, </w:t>
      </w:r>
      <w:proofErr w:type="spellStart"/>
      <w:r>
        <w:t>Hendren</w:t>
      </w:r>
      <w:proofErr w:type="spellEnd"/>
      <w:r>
        <w:t xml:space="preserve">, et al. (2014). </w:t>
      </w:r>
    </w:p>
  </w:footnote>
  <w:footnote w:id="2">
    <w:p w:rsidR="00811A29" w:rsidRDefault="00811A29" w:rsidP="00863108">
      <w:pPr>
        <w:pStyle w:val="FootnoteText"/>
      </w:pPr>
      <w:r>
        <w:rPr>
          <w:rStyle w:val="FootnoteReference"/>
        </w:rPr>
        <w:footnoteRef/>
      </w:r>
      <w:r>
        <w:t xml:space="preserve"> </w:t>
      </w:r>
      <w:r w:rsidRPr="00ED0A27">
        <w:t xml:space="preserve">See Lochner and </w:t>
      </w:r>
      <w:proofErr w:type="spellStart"/>
      <w:r w:rsidRPr="00ED0A27">
        <w:t>Monge-Naranjo</w:t>
      </w:r>
      <w:proofErr w:type="spellEnd"/>
      <w:r w:rsidRPr="00ED0A27">
        <w:t xml:space="preserve"> (2012) for a recent review of the credit constraint literature.  </w:t>
      </w:r>
    </w:p>
  </w:footnote>
  <w:footnote w:id="3">
    <w:p w:rsidR="00811A29" w:rsidRDefault="00811A29">
      <w:pPr>
        <w:pStyle w:val="FootnoteText"/>
      </w:pPr>
      <w:r>
        <w:rPr>
          <w:rStyle w:val="FootnoteReference"/>
        </w:rPr>
        <w:footnoteRef/>
      </w:r>
      <w:r>
        <w:t xml:space="preserve"> This study is perhaps the closest to ours.  We build on it by using almost 25 years of additional PSID data, including data on young adult GPA, expectations, and aspirations from the Transition to Adulthood survey; examining </w:t>
      </w:r>
      <w:r w:rsidRPr="004D5CDD">
        <w:t>the effect</w:t>
      </w:r>
      <w:r>
        <w:t>s</w:t>
      </w:r>
      <w:r w:rsidRPr="004D5CDD">
        <w:t xml:space="preserve"> of income and </w:t>
      </w:r>
      <w:r>
        <w:t>wealth</w:t>
      </w:r>
      <w:r w:rsidRPr="004D5CDD">
        <w:t xml:space="preserve"> through</w:t>
      </w:r>
      <w:r>
        <w:t>out</w:t>
      </w:r>
      <w:r w:rsidRPr="004D5CDD">
        <w:t xml:space="preserve"> the</w:t>
      </w:r>
      <w:r>
        <w:t>ir</w:t>
      </w:r>
      <w:r w:rsidRPr="004D5CDD">
        <w:t xml:space="preserve"> entire distribution</w:t>
      </w:r>
      <w:r>
        <w:t xml:space="preserve">s; and showing comparable results from the HRS to probe the robustness of our findings.  </w:t>
      </w:r>
    </w:p>
  </w:footnote>
  <w:footnote w:id="4">
    <w:p w:rsidR="00811A29" w:rsidRDefault="00811A29">
      <w:pPr>
        <w:pStyle w:val="FootnoteText"/>
      </w:pPr>
      <w:r>
        <w:rPr>
          <w:rStyle w:val="FootnoteReference"/>
        </w:rPr>
        <w:footnoteRef/>
      </w:r>
      <w:r>
        <w:t xml:space="preserve"> For example, Cameron and Taber (2004) and Keane and </w:t>
      </w:r>
      <w:proofErr w:type="spellStart"/>
      <w:r>
        <w:t>Wolpin</w:t>
      </w:r>
      <w:proofErr w:type="spellEnd"/>
      <w:r>
        <w:t xml:space="preserve"> (2001) use the NLSY79, and Johnson (2011) uses the NLSY97. </w:t>
      </w:r>
    </w:p>
  </w:footnote>
  <w:footnote w:id="5">
    <w:p w:rsidR="00811A29" w:rsidRDefault="00811A29">
      <w:pPr>
        <w:pStyle w:val="FootnoteText"/>
      </w:pPr>
      <w:r>
        <w:rPr>
          <w:rStyle w:val="FootnoteReference"/>
        </w:rPr>
        <w:footnoteRef/>
      </w:r>
      <w:r>
        <w:t xml:space="preserve"> </w:t>
      </w:r>
      <w:proofErr w:type="spellStart"/>
      <w:r>
        <w:t>Stinebrickner</w:t>
      </w:r>
      <w:proofErr w:type="spellEnd"/>
      <w:r>
        <w:t xml:space="preserve"> and </w:t>
      </w:r>
      <w:proofErr w:type="spellStart"/>
      <w:r>
        <w:t>Stinebrickner</w:t>
      </w:r>
      <w:proofErr w:type="spellEnd"/>
      <w:r>
        <w:t xml:space="preserve"> (2008) study the drop-out decision at a rural Kentucky college where the direct costs of attendance are basically zero, implying that factors other than high direct costs matter. Of course, even absent tuition, attending college can be expensive in terms of opportunity cost and this cost could well vary with economic status. </w:t>
      </w:r>
    </w:p>
  </w:footnote>
  <w:footnote w:id="6">
    <w:p w:rsidR="00811A29" w:rsidRDefault="00811A29" w:rsidP="00C918C1">
      <w:pPr>
        <w:pStyle w:val="FootnoteText"/>
      </w:pPr>
      <w:r>
        <w:rPr>
          <w:rStyle w:val="FootnoteReference"/>
        </w:rPr>
        <w:footnoteRef/>
      </w:r>
      <w:r>
        <w:t xml:space="preserve"> The original PSID sample was comprised of two components, a random sample of the US and an oversample of the poor.  We make use of children from both components, so we use the sample weights throughout our analysis.  Because our basic unit of analysis is the child, we use the individual weights.</w:t>
      </w:r>
    </w:p>
  </w:footnote>
  <w:footnote w:id="7">
    <w:p w:rsidR="00811A29" w:rsidRDefault="00811A29">
      <w:pPr>
        <w:pStyle w:val="FootnoteText"/>
      </w:pPr>
      <w:r>
        <w:rPr>
          <w:rStyle w:val="FootnoteReference"/>
        </w:rPr>
        <w:footnoteRef/>
      </w:r>
      <w:r>
        <w:t xml:space="preserve"> We define the parent of these young adults to be the last head of household (</w:t>
      </w:r>
      <w:r w:rsidRPr="00711DB8">
        <w:t>looking backwards up to four years</w:t>
      </w:r>
      <w:r>
        <w:t xml:space="preserve"> and including the current wave) to identify the young adult as being their child or step-child. In addition, </w:t>
      </w:r>
      <w:r w:rsidRPr="00E828A5">
        <w:t xml:space="preserve">the core interviews collect relatively little information about family members </w:t>
      </w:r>
      <w:r>
        <w:t>other than the head and his wife, such as</w:t>
      </w:r>
      <w:r w:rsidRPr="00E828A5">
        <w:t xml:space="preserve"> age, education, marital status, and employment status</w:t>
      </w:r>
      <w:r>
        <w:t xml:space="preserve">.  Thus, </w:t>
      </w:r>
      <w:r w:rsidRPr="00E828A5">
        <w:t xml:space="preserve">we are limited in our ability to </w:t>
      </w:r>
      <w:r>
        <w:t xml:space="preserve">systematically examine </w:t>
      </w:r>
      <w:r w:rsidRPr="00E828A5">
        <w:t xml:space="preserve">the characteristics of the </w:t>
      </w:r>
      <w:r>
        <w:t>young adult when we use this broader sample</w:t>
      </w:r>
      <w:r w:rsidRPr="00E828A5">
        <w:t>.</w:t>
      </w:r>
    </w:p>
  </w:footnote>
  <w:footnote w:id="8">
    <w:p w:rsidR="00811A29" w:rsidRDefault="00811A29">
      <w:pPr>
        <w:pStyle w:val="FootnoteText"/>
      </w:pPr>
      <w:r>
        <w:rPr>
          <w:rStyle w:val="FootnoteReference"/>
        </w:rPr>
        <w:footnoteRef/>
      </w:r>
      <w:r>
        <w:t xml:space="preserve"> Given high school dropouts tend to have low GPA, the attendance/GPA gradient would be steeper if they were included.</w:t>
      </w:r>
    </w:p>
  </w:footnote>
  <w:footnote w:id="9">
    <w:p w:rsidR="00811A29" w:rsidRDefault="00811A29" w:rsidP="001A783C">
      <w:pPr>
        <w:pStyle w:val="FootnoteText"/>
      </w:pPr>
      <w:r>
        <w:rPr>
          <w:rStyle w:val="FootnoteReference"/>
        </w:rPr>
        <w:footnoteRef/>
      </w:r>
      <w:r>
        <w:t xml:space="preserve"> </w:t>
      </w:r>
      <w:r w:rsidRPr="00191CDC">
        <w:t>Although the PSID has added Hispanic subsamples since its initial sample was selected, the requisite data does not exist for these newer respondents</w:t>
      </w:r>
      <w:r>
        <w:t>.</w:t>
      </w:r>
    </w:p>
  </w:footnote>
  <w:footnote w:id="10">
    <w:p w:rsidR="00811A29" w:rsidRDefault="00811A29">
      <w:pPr>
        <w:pStyle w:val="FootnoteText"/>
      </w:pPr>
      <w:r>
        <w:rPr>
          <w:rStyle w:val="FootnoteReference"/>
        </w:rPr>
        <w:footnoteRef/>
      </w:r>
      <w:r>
        <w:t xml:space="preserve"> See Haider and McGarry (2012) for an analysis of educational transfers from parents to children in the HRS.</w:t>
      </w:r>
    </w:p>
  </w:footnote>
  <w:footnote w:id="11">
    <w:p w:rsidR="00811A29" w:rsidRDefault="00811A29" w:rsidP="00461039">
      <w:pPr>
        <w:pStyle w:val="FootnoteText"/>
      </w:pPr>
      <w:r>
        <w:rPr>
          <w:rStyle w:val="FootnoteReference"/>
        </w:rPr>
        <w:footnoteRef/>
      </w:r>
      <w:r>
        <w:t xml:space="preserve"> Based on this wording, it is unclear the extent to which parents should report various certificate programs or non-degree activities as school enrollment or count them in the total of number of years of education.</w:t>
      </w:r>
    </w:p>
  </w:footnote>
  <w:footnote w:id="12">
    <w:p w:rsidR="00811A29" w:rsidRDefault="00811A29">
      <w:pPr>
        <w:pStyle w:val="FootnoteText"/>
      </w:pPr>
      <w:r>
        <w:rPr>
          <w:rStyle w:val="FootnoteReference"/>
        </w:rPr>
        <w:footnoteRef/>
      </w:r>
      <w:r>
        <w:t xml:space="preserve"> For each local regression, we use a local linear regression with an </w:t>
      </w:r>
      <w:proofErr w:type="spellStart"/>
      <w:r>
        <w:t>Epanchikov</w:t>
      </w:r>
      <w:proofErr w:type="spellEnd"/>
      <w:r>
        <w:t xml:space="preserve"> kernel and the asymptotically optimal constant bandwidth (the “rule of thumb” bandwidth).  For the income plot in Figure 1, for example, this bandwidth is approximately $14,000.</w:t>
      </w:r>
    </w:p>
  </w:footnote>
  <w:footnote w:id="13">
    <w:p w:rsidR="00811A29" w:rsidRDefault="00811A29">
      <w:pPr>
        <w:pStyle w:val="FootnoteText"/>
      </w:pPr>
      <w:r>
        <w:rPr>
          <w:rStyle w:val="FootnoteReference"/>
        </w:rPr>
        <w:footnoteRef/>
      </w:r>
      <w:r>
        <w:t xml:space="preserve"> Specifically, in addition to a </w:t>
      </w:r>
      <w:proofErr w:type="spellStart"/>
      <w:r>
        <w:t>quartic</w:t>
      </w:r>
      <w:proofErr w:type="spellEnd"/>
      <w:r>
        <w:t xml:space="preserve"> in income and wealth, the regressions include indicators for each of the PSID waves, indicators for the age of the household head (40 or less, 41-45, 46-50, 51-55, 56 and over), an indicator for whether the parental household was headed by a female, the years of schooling of the household head, and the race of the household head, and an indicator for the sex of the child.</w:t>
      </w:r>
    </w:p>
  </w:footnote>
  <w:footnote w:id="14">
    <w:p w:rsidR="00811A29" w:rsidRDefault="00811A29">
      <w:pPr>
        <w:spacing w:line="480" w:lineRule="auto"/>
        <w:rPr>
          <w:sz w:val="20"/>
          <w:szCs w:val="20"/>
        </w:rPr>
      </w:pPr>
      <w:r w:rsidRPr="00B30CF5">
        <w:rPr>
          <w:rStyle w:val="FootnoteReference"/>
          <w:sz w:val="20"/>
          <w:szCs w:val="20"/>
        </w:rPr>
        <w:footnoteRef/>
      </w:r>
      <w:r w:rsidRPr="00B30CF5">
        <w:rPr>
          <w:sz w:val="20"/>
          <w:szCs w:val="20"/>
        </w:rPr>
        <w:t xml:space="preserve"> </w:t>
      </w:r>
      <w:r>
        <w:rPr>
          <w:sz w:val="20"/>
          <w:szCs w:val="20"/>
        </w:rPr>
        <w:t>The</w:t>
      </w:r>
      <w:r w:rsidRPr="00B30CF5">
        <w:rPr>
          <w:sz w:val="20"/>
          <w:szCs w:val="20"/>
        </w:rPr>
        <w:t xml:space="preserve"> point estimates and standard errors for these attendance rates</w:t>
      </w:r>
      <w:r>
        <w:rPr>
          <w:sz w:val="20"/>
          <w:szCs w:val="20"/>
        </w:rPr>
        <w:t xml:space="preserve"> are</w:t>
      </w:r>
      <w:r w:rsidRPr="00B30CF5">
        <w:rPr>
          <w:sz w:val="20"/>
          <w:szCs w:val="20"/>
        </w:rPr>
        <w:t xml:space="preserve"> in the appendix.</w:t>
      </w:r>
    </w:p>
    <w:p w:rsidR="00811A29" w:rsidRDefault="00811A29">
      <w:pPr>
        <w:pStyle w:val="FootnoteText"/>
      </w:pPr>
    </w:p>
  </w:footnote>
  <w:footnote w:id="15">
    <w:p w:rsidR="00811A29" w:rsidRDefault="00811A29">
      <w:pPr>
        <w:pStyle w:val="FootnoteText"/>
      </w:pPr>
      <w:r>
        <w:rPr>
          <w:rStyle w:val="FootnoteReference"/>
        </w:rPr>
        <w:footnoteRef/>
      </w:r>
      <w:r>
        <w:t xml:space="preserve"> Empirically, a quadratic in income matches the non-parametric attendance/income relationship quite well.  However, a quadratic in wealth fares less well, exhibiting too steep of an initial increase and too steep of an eventual decline relative to the non-parametric relationship.  For consistency, we use a </w:t>
      </w:r>
      <w:proofErr w:type="spellStart"/>
      <w:r>
        <w:t>quartic</w:t>
      </w:r>
      <w:proofErr w:type="spellEnd"/>
      <w:r>
        <w:t xml:space="preserve"> specification for both income and wealth.   </w:t>
      </w:r>
    </w:p>
  </w:footnote>
  <w:footnote w:id="16">
    <w:p w:rsidR="00811A29" w:rsidRDefault="00811A29" w:rsidP="00027000">
      <w:r w:rsidRPr="0033753E">
        <w:rPr>
          <w:rStyle w:val="FootnoteReference"/>
          <w:sz w:val="20"/>
          <w:szCs w:val="20"/>
        </w:rPr>
        <w:footnoteRef/>
      </w:r>
      <w:r w:rsidRPr="0033753E">
        <w:rPr>
          <w:sz w:val="20"/>
          <w:szCs w:val="20"/>
        </w:rPr>
        <w:t xml:space="preserve"> </w:t>
      </w:r>
      <w:r>
        <w:rPr>
          <w:sz w:val="20"/>
          <w:szCs w:val="20"/>
        </w:rPr>
        <w:t>Recall</w:t>
      </w:r>
      <w:r w:rsidRPr="0033753E">
        <w:rPr>
          <w:sz w:val="20"/>
          <w:szCs w:val="20"/>
        </w:rPr>
        <w:t xml:space="preserve"> that this group of attendees with less than four years of college includes those who</w:t>
      </w:r>
      <w:r>
        <w:rPr>
          <w:sz w:val="20"/>
          <w:szCs w:val="20"/>
        </w:rPr>
        <w:t xml:space="preserve"> attended a trade school,</w:t>
      </w:r>
      <w:r w:rsidRPr="0033753E">
        <w:rPr>
          <w:sz w:val="20"/>
          <w:szCs w:val="20"/>
        </w:rPr>
        <w:t xml:space="preserve"> completed (or failed to complete</w:t>
      </w:r>
      <w:r>
        <w:rPr>
          <w:sz w:val="20"/>
          <w:szCs w:val="20"/>
        </w:rPr>
        <w:t>)</w:t>
      </w:r>
      <w:r w:rsidRPr="0033753E">
        <w:rPr>
          <w:sz w:val="20"/>
          <w:szCs w:val="20"/>
        </w:rPr>
        <w:t xml:space="preserve"> a two year degree, </w:t>
      </w:r>
      <w:r>
        <w:rPr>
          <w:sz w:val="20"/>
          <w:szCs w:val="20"/>
        </w:rPr>
        <w:t xml:space="preserve">and </w:t>
      </w:r>
      <w:r w:rsidRPr="0033753E">
        <w:rPr>
          <w:sz w:val="20"/>
          <w:szCs w:val="20"/>
        </w:rPr>
        <w:t xml:space="preserve"> who attended and failed to complete a four year school. Furthermore, some subset of these student</w:t>
      </w:r>
      <w:r>
        <w:rPr>
          <w:sz w:val="20"/>
          <w:szCs w:val="20"/>
        </w:rPr>
        <w:t>s</w:t>
      </w:r>
      <w:r w:rsidRPr="0033753E">
        <w:rPr>
          <w:sz w:val="20"/>
          <w:szCs w:val="20"/>
        </w:rPr>
        <w:t xml:space="preserve"> may complete their education </w:t>
      </w:r>
      <w:r>
        <w:rPr>
          <w:sz w:val="20"/>
          <w:szCs w:val="20"/>
        </w:rPr>
        <w:t>after they turn 25,</w:t>
      </w:r>
      <w:r w:rsidRPr="0033753E">
        <w:rPr>
          <w:sz w:val="20"/>
          <w:szCs w:val="20"/>
        </w:rPr>
        <w:t xml:space="preserve"> although we expect the number of such students to be extremely small. </w:t>
      </w:r>
    </w:p>
  </w:footnote>
  <w:footnote w:id="17">
    <w:p w:rsidR="00811A29" w:rsidRDefault="00811A29">
      <w:pPr>
        <w:pStyle w:val="FootnoteText"/>
      </w:pPr>
      <w:r>
        <w:rPr>
          <w:rStyle w:val="FootnoteReference"/>
        </w:rPr>
        <w:footnoteRef/>
      </w:r>
      <w:r>
        <w:t xml:space="preserve"> This line differs from the analogous line in Figure 1 because it is based on a sample of those observed through age 25. </w:t>
      </w:r>
    </w:p>
  </w:footnote>
  <w:footnote w:id="18">
    <w:p w:rsidR="00811A29" w:rsidRDefault="00811A29">
      <w:pPr>
        <w:pStyle w:val="FootnoteText"/>
      </w:pPr>
      <w:r>
        <w:rPr>
          <w:rStyle w:val="FootnoteReference"/>
        </w:rPr>
        <w:footnoteRef/>
      </w:r>
      <w:r>
        <w:t xml:space="preserve"> Unfortunately, our Full Sample does not allow us to analyze attendance versus completing a two-year degree or to consider part- versus full-time attendance.  However, our TA Sample does, and we turn to these outcomes in the next section. </w:t>
      </w:r>
    </w:p>
  </w:footnote>
  <w:footnote w:id="19">
    <w:p w:rsidR="00811A29" w:rsidRDefault="00811A29" w:rsidP="00FF28A8">
      <w:pPr>
        <w:pStyle w:val="FootnoteText"/>
      </w:pPr>
      <w:r>
        <w:rPr>
          <w:rStyle w:val="FootnoteReference"/>
        </w:rPr>
        <w:footnoteRef/>
      </w:r>
      <w:r>
        <w:t xml:space="preserve"> The fact that family background differences can largely account for racial and ethnic differences in schooling has been documented by others.  For example, see Kane (1994).</w:t>
      </w:r>
    </w:p>
  </w:footnote>
  <w:footnote w:id="20">
    <w:p w:rsidR="00811A29" w:rsidRDefault="00811A29">
      <w:pPr>
        <w:pStyle w:val="FootnoteText"/>
      </w:pPr>
      <w:r>
        <w:rPr>
          <w:rStyle w:val="FootnoteReference"/>
        </w:rPr>
        <w:footnoteRef/>
      </w:r>
      <w:r>
        <w:t xml:space="preserve"> To ensure that these results were not driven by the parametric specification of income used in producing the panel, we also considered a far more descriptive approach.  Specifically, we divided the sample into nine groups, defined by the interaction of the 3 GPA </w:t>
      </w:r>
      <w:proofErr w:type="spellStart"/>
      <w:r>
        <w:t>terciles</w:t>
      </w:r>
      <w:proofErr w:type="spellEnd"/>
      <w:r>
        <w:t xml:space="preserve"> and income </w:t>
      </w:r>
      <w:proofErr w:type="spellStart"/>
      <w:r>
        <w:t>terciles</w:t>
      </w:r>
      <w:proofErr w:type="spellEnd"/>
      <w:r>
        <w:t>.  See the appendix for the tabulations.</w:t>
      </w:r>
    </w:p>
  </w:footnote>
  <w:footnote w:id="21">
    <w:p w:rsidR="00811A29" w:rsidRDefault="00811A29">
      <w:pPr>
        <w:pStyle w:val="FootnoteText"/>
      </w:pPr>
      <w:r>
        <w:rPr>
          <w:rStyle w:val="FootnoteReference"/>
        </w:rPr>
        <w:footnoteRef/>
      </w:r>
      <w:r>
        <w:t xml:space="preserve"> Of course, these estimates should not be interpreted causally for numerous reasons.  For example, young adults who have no intention of attending college may invest less in high school and thus obtain a lower GPA, regardless of family resources.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29" w:rsidRDefault="00811A2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A29" w:rsidRDefault="00811A29" w:rsidP="0055179A">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A623A"/>
    <w:multiLevelType w:val="hybridMultilevel"/>
    <w:tmpl w:val="356E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D8292F"/>
    <w:multiLevelType w:val="hybridMultilevel"/>
    <w:tmpl w:val="3E42F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04E0173"/>
    <w:multiLevelType w:val="hybridMultilevel"/>
    <w:tmpl w:val="6F7C6270"/>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
    <w:nsid w:val="23507F55"/>
    <w:multiLevelType w:val="hybridMultilevel"/>
    <w:tmpl w:val="EA66E8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01026C"/>
    <w:multiLevelType w:val="hybridMultilevel"/>
    <w:tmpl w:val="3F924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62D4D37"/>
    <w:multiLevelType w:val="hybridMultilevel"/>
    <w:tmpl w:val="4738B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AD94AC0"/>
    <w:multiLevelType w:val="hybridMultilevel"/>
    <w:tmpl w:val="D5164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B2908F2"/>
    <w:multiLevelType w:val="hybridMultilevel"/>
    <w:tmpl w:val="2C2E6C8E"/>
    <w:lvl w:ilvl="0" w:tplc="8E280500">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CED4B44"/>
    <w:multiLevelType w:val="hybridMultilevel"/>
    <w:tmpl w:val="56765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18A1D34"/>
    <w:multiLevelType w:val="hybridMultilevel"/>
    <w:tmpl w:val="2D92B3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73666F8E"/>
    <w:multiLevelType w:val="hybridMultilevel"/>
    <w:tmpl w:val="7B468F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9DA7FBC"/>
    <w:multiLevelType w:val="hybridMultilevel"/>
    <w:tmpl w:val="60C6E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10"/>
  </w:num>
  <w:num w:numId="4">
    <w:abstractNumId w:val="3"/>
  </w:num>
  <w:num w:numId="5">
    <w:abstractNumId w:val="9"/>
  </w:num>
  <w:num w:numId="6">
    <w:abstractNumId w:val="2"/>
  </w:num>
  <w:num w:numId="7">
    <w:abstractNumId w:val="1"/>
  </w:num>
  <w:num w:numId="8">
    <w:abstractNumId w:val="6"/>
  </w:num>
  <w:num w:numId="9">
    <w:abstractNumId w:val="11"/>
  </w:num>
  <w:num w:numId="10">
    <w:abstractNumId w:val="8"/>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01E3F"/>
    <w:rsid w:val="00000745"/>
    <w:rsid w:val="00000C54"/>
    <w:rsid w:val="00000C98"/>
    <w:rsid w:val="00001845"/>
    <w:rsid w:val="00001B0F"/>
    <w:rsid w:val="00001B7F"/>
    <w:rsid w:val="000020B1"/>
    <w:rsid w:val="0000210E"/>
    <w:rsid w:val="00002FE3"/>
    <w:rsid w:val="00003096"/>
    <w:rsid w:val="000035E0"/>
    <w:rsid w:val="00003984"/>
    <w:rsid w:val="00003D79"/>
    <w:rsid w:val="0000414D"/>
    <w:rsid w:val="00004642"/>
    <w:rsid w:val="00004D6D"/>
    <w:rsid w:val="0000630F"/>
    <w:rsid w:val="000069FD"/>
    <w:rsid w:val="00007BCA"/>
    <w:rsid w:val="0001041C"/>
    <w:rsid w:val="000107FC"/>
    <w:rsid w:val="00010954"/>
    <w:rsid w:val="000109F7"/>
    <w:rsid w:val="00010D1F"/>
    <w:rsid w:val="00011BE1"/>
    <w:rsid w:val="00012BF5"/>
    <w:rsid w:val="00012F67"/>
    <w:rsid w:val="00013719"/>
    <w:rsid w:val="000137FE"/>
    <w:rsid w:val="00013B6D"/>
    <w:rsid w:val="00014166"/>
    <w:rsid w:val="000141B3"/>
    <w:rsid w:val="00014872"/>
    <w:rsid w:val="00015CC2"/>
    <w:rsid w:val="00016316"/>
    <w:rsid w:val="0001635D"/>
    <w:rsid w:val="00016AF2"/>
    <w:rsid w:val="00016BE3"/>
    <w:rsid w:val="00017108"/>
    <w:rsid w:val="00017501"/>
    <w:rsid w:val="000204C2"/>
    <w:rsid w:val="00020DB4"/>
    <w:rsid w:val="00021265"/>
    <w:rsid w:val="0002127C"/>
    <w:rsid w:val="00021946"/>
    <w:rsid w:val="000225EE"/>
    <w:rsid w:val="000227D4"/>
    <w:rsid w:val="000234E4"/>
    <w:rsid w:val="00023EA1"/>
    <w:rsid w:val="00024266"/>
    <w:rsid w:val="000243AE"/>
    <w:rsid w:val="000246E4"/>
    <w:rsid w:val="00025354"/>
    <w:rsid w:val="000253EF"/>
    <w:rsid w:val="00025A72"/>
    <w:rsid w:val="00025B75"/>
    <w:rsid w:val="00025E99"/>
    <w:rsid w:val="00026EE0"/>
    <w:rsid w:val="00027000"/>
    <w:rsid w:val="0002735E"/>
    <w:rsid w:val="00027968"/>
    <w:rsid w:val="00027A2D"/>
    <w:rsid w:val="00027D9A"/>
    <w:rsid w:val="0003001B"/>
    <w:rsid w:val="00030103"/>
    <w:rsid w:val="00030913"/>
    <w:rsid w:val="0003098C"/>
    <w:rsid w:val="00031067"/>
    <w:rsid w:val="000314C3"/>
    <w:rsid w:val="00031B72"/>
    <w:rsid w:val="00031C24"/>
    <w:rsid w:val="0003234A"/>
    <w:rsid w:val="0003252B"/>
    <w:rsid w:val="0003316B"/>
    <w:rsid w:val="000331B5"/>
    <w:rsid w:val="00033235"/>
    <w:rsid w:val="000332AA"/>
    <w:rsid w:val="00033E85"/>
    <w:rsid w:val="00034031"/>
    <w:rsid w:val="000340FE"/>
    <w:rsid w:val="00034599"/>
    <w:rsid w:val="000349B7"/>
    <w:rsid w:val="00034DC9"/>
    <w:rsid w:val="0003565C"/>
    <w:rsid w:val="00035DB9"/>
    <w:rsid w:val="00036CA3"/>
    <w:rsid w:val="00036CF9"/>
    <w:rsid w:val="00036D68"/>
    <w:rsid w:val="00036F63"/>
    <w:rsid w:val="00040609"/>
    <w:rsid w:val="00041709"/>
    <w:rsid w:val="00041EB8"/>
    <w:rsid w:val="00042065"/>
    <w:rsid w:val="00042455"/>
    <w:rsid w:val="000424C8"/>
    <w:rsid w:val="00042574"/>
    <w:rsid w:val="00042600"/>
    <w:rsid w:val="000426A0"/>
    <w:rsid w:val="00043052"/>
    <w:rsid w:val="000431A4"/>
    <w:rsid w:val="00043727"/>
    <w:rsid w:val="000443D8"/>
    <w:rsid w:val="00044A9E"/>
    <w:rsid w:val="00044C5A"/>
    <w:rsid w:val="00044D31"/>
    <w:rsid w:val="00044D4D"/>
    <w:rsid w:val="000454D0"/>
    <w:rsid w:val="00045779"/>
    <w:rsid w:val="0004617F"/>
    <w:rsid w:val="00046644"/>
    <w:rsid w:val="00046B1F"/>
    <w:rsid w:val="00046E85"/>
    <w:rsid w:val="000471FB"/>
    <w:rsid w:val="00047529"/>
    <w:rsid w:val="00047936"/>
    <w:rsid w:val="00047F5B"/>
    <w:rsid w:val="00050242"/>
    <w:rsid w:val="000504B7"/>
    <w:rsid w:val="00050B1F"/>
    <w:rsid w:val="0005109D"/>
    <w:rsid w:val="00051662"/>
    <w:rsid w:val="0005172F"/>
    <w:rsid w:val="00051891"/>
    <w:rsid w:val="00051B98"/>
    <w:rsid w:val="00052454"/>
    <w:rsid w:val="00052E7D"/>
    <w:rsid w:val="000535AE"/>
    <w:rsid w:val="000542FD"/>
    <w:rsid w:val="000551EE"/>
    <w:rsid w:val="00055C9C"/>
    <w:rsid w:val="00055EBE"/>
    <w:rsid w:val="0005609E"/>
    <w:rsid w:val="00057228"/>
    <w:rsid w:val="00057E0E"/>
    <w:rsid w:val="00060583"/>
    <w:rsid w:val="00060780"/>
    <w:rsid w:val="00060A1A"/>
    <w:rsid w:val="00060C38"/>
    <w:rsid w:val="000611D5"/>
    <w:rsid w:val="000615CF"/>
    <w:rsid w:val="00061936"/>
    <w:rsid w:val="00061961"/>
    <w:rsid w:val="0006267A"/>
    <w:rsid w:val="00062AF8"/>
    <w:rsid w:val="00062B96"/>
    <w:rsid w:val="00062CFA"/>
    <w:rsid w:val="000635F0"/>
    <w:rsid w:val="00063D95"/>
    <w:rsid w:val="000646FF"/>
    <w:rsid w:val="00064B81"/>
    <w:rsid w:val="000650D2"/>
    <w:rsid w:val="000666A9"/>
    <w:rsid w:val="00066C44"/>
    <w:rsid w:val="00067879"/>
    <w:rsid w:val="00067F33"/>
    <w:rsid w:val="00070CD5"/>
    <w:rsid w:val="00070E2C"/>
    <w:rsid w:val="00071279"/>
    <w:rsid w:val="00071C31"/>
    <w:rsid w:val="00071CFA"/>
    <w:rsid w:val="000726E6"/>
    <w:rsid w:val="00074056"/>
    <w:rsid w:val="0007420B"/>
    <w:rsid w:val="00074CE0"/>
    <w:rsid w:val="00074D04"/>
    <w:rsid w:val="00074DD2"/>
    <w:rsid w:val="00074E4A"/>
    <w:rsid w:val="000753C7"/>
    <w:rsid w:val="000753D6"/>
    <w:rsid w:val="00075910"/>
    <w:rsid w:val="00075DFC"/>
    <w:rsid w:val="00075FD1"/>
    <w:rsid w:val="00076076"/>
    <w:rsid w:val="00076D80"/>
    <w:rsid w:val="00077375"/>
    <w:rsid w:val="00077A8B"/>
    <w:rsid w:val="00080232"/>
    <w:rsid w:val="00080256"/>
    <w:rsid w:val="000802DB"/>
    <w:rsid w:val="0008127A"/>
    <w:rsid w:val="00082280"/>
    <w:rsid w:val="00082E4A"/>
    <w:rsid w:val="00082FBD"/>
    <w:rsid w:val="0008376F"/>
    <w:rsid w:val="0008392E"/>
    <w:rsid w:val="00083B75"/>
    <w:rsid w:val="00083E64"/>
    <w:rsid w:val="00083FB7"/>
    <w:rsid w:val="0008459A"/>
    <w:rsid w:val="00084C30"/>
    <w:rsid w:val="00085090"/>
    <w:rsid w:val="0008584D"/>
    <w:rsid w:val="00085C10"/>
    <w:rsid w:val="00085E8C"/>
    <w:rsid w:val="000861EA"/>
    <w:rsid w:val="000869A0"/>
    <w:rsid w:val="000869C2"/>
    <w:rsid w:val="00086A4F"/>
    <w:rsid w:val="0008718D"/>
    <w:rsid w:val="00087878"/>
    <w:rsid w:val="00087CEC"/>
    <w:rsid w:val="00090193"/>
    <w:rsid w:val="00090A26"/>
    <w:rsid w:val="0009112D"/>
    <w:rsid w:val="000911E8"/>
    <w:rsid w:val="000913B7"/>
    <w:rsid w:val="000920C0"/>
    <w:rsid w:val="00092E0C"/>
    <w:rsid w:val="00092F4D"/>
    <w:rsid w:val="00093E23"/>
    <w:rsid w:val="00093F1A"/>
    <w:rsid w:val="0009703A"/>
    <w:rsid w:val="000974BF"/>
    <w:rsid w:val="00097B2A"/>
    <w:rsid w:val="00097F46"/>
    <w:rsid w:val="000A0707"/>
    <w:rsid w:val="000A178D"/>
    <w:rsid w:val="000A1BA4"/>
    <w:rsid w:val="000A1BC9"/>
    <w:rsid w:val="000A21F8"/>
    <w:rsid w:val="000A2CBF"/>
    <w:rsid w:val="000A442D"/>
    <w:rsid w:val="000A4AFF"/>
    <w:rsid w:val="000A5016"/>
    <w:rsid w:val="000A5C9A"/>
    <w:rsid w:val="000A5E02"/>
    <w:rsid w:val="000A656E"/>
    <w:rsid w:val="000A6F0A"/>
    <w:rsid w:val="000A7CD1"/>
    <w:rsid w:val="000B0E71"/>
    <w:rsid w:val="000B16D7"/>
    <w:rsid w:val="000B2021"/>
    <w:rsid w:val="000B2052"/>
    <w:rsid w:val="000B25EB"/>
    <w:rsid w:val="000B2BA0"/>
    <w:rsid w:val="000B344C"/>
    <w:rsid w:val="000B3D73"/>
    <w:rsid w:val="000B450F"/>
    <w:rsid w:val="000B4E2E"/>
    <w:rsid w:val="000B523C"/>
    <w:rsid w:val="000B52C8"/>
    <w:rsid w:val="000B5AC8"/>
    <w:rsid w:val="000B5B47"/>
    <w:rsid w:val="000B6C09"/>
    <w:rsid w:val="000B762B"/>
    <w:rsid w:val="000B7B5A"/>
    <w:rsid w:val="000B7D5D"/>
    <w:rsid w:val="000B7DA0"/>
    <w:rsid w:val="000C0686"/>
    <w:rsid w:val="000C076C"/>
    <w:rsid w:val="000C08F8"/>
    <w:rsid w:val="000C103E"/>
    <w:rsid w:val="000C159D"/>
    <w:rsid w:val="000C1623"/>
    <w:rsid w:val="000C17E0"/>
    <w:rsid w:val="000C19B0"/>
    <w:rsid w:val="000C2B7A"/>
    <w:rsid w:val="000C3278"/>
    <w:rsid w:val="000C3C0E"/>
    <w:rsid w:val="000C3D2D"/>
    <w:rsid w:val="000C3F68"/>
    <w:rsid w:val="000C4337"/>
    <w:rsid w:val="000C56D4"/>
    <w:rsid w:val="000C6DA1"/>
    <w:rsid w:val="000C7707"/>
    <w:rsid w:val="000D04D4"/>
    <w:rsid w:val="000D077F"/>
    <w:rsid w:val="000D08C5"/>
    <w:rsid w:val="000D094D"/>
    <w:rsid w:val="000D0F91"/>
    <w:rsid w:val="000D18BE"/>
    <w:rsid w:val="000D1AD0"/>
    <w:rsid w:val="000D1CD7"/>
    <w:rsid w:val="000D20ED"/>
    <w:rsid w:val="000D227A"/>
    <w:rsid w:val="000D2D7C"/>
    <w:rsid w:val="000D32CD"/>
    <w:rsid w:val="000D3512"/>
    <w:rsid w:val="000D3D04"/>
    <w:rsid w:val="000D3F75"/>
    <w:rsid w:val="000D4545"/>
    <w:rsid w:val="000D4CB9"/>
    <w:rsid w:val="000D4F62"/>
    <w:rsid w:val="000D502B"/>
    <w:rsid w:val="000D559A"/>
    <w:rsid w:val="000D55B9"/>
    <w:rsid w:val="000D6B40"/>
    <w:rsid w:val="000D6CBC"/>
    <w:rsid w:val="000D6D97"/>
    <w:rsid w:val="000E0337"/>
    <w:rsid w:val="000E1485"/>
    <w:rsid w:val="000E16F7"/>
    <w:rsid w:val="000E18A7"/>
    <w:rsid w:val="000E1B65"/>
    <w:rsid w:val="000E1D43"/>
    <w:rsid w:val="000E28B5"/>
    <w:rsid w:val="000E28FF"/>
    <w:rsid w:val="000E2BA2"/>
    <w:rsid w:val="000E2BE1"/>
    <w:rsid w:val="000E30B6"/>
    <w:rsid w:val="000E457F"/>
    <w:rsid w:val="000E4ABE"/>
    <w:rsid w:val="000E52C9"/>
    <w:rsid w:val="000E6891"/>
    <w:rsid w:val="000E69D4"/>
    <w:rsid w:val="000E6A05"/>
    <w:rsid w:val="000E7757"/>
    <w:rsid w:val="000E7821"/>
    <w:rsid w:val="000E79F8"/>
    <w:rsid w:val="000E7A4C"/>
    <w:rsid w:val="000F00EC"/>
    <w:rsid w:val="000F0887"/>
    <w:rsid w:val="000F11B6"/>
    <w:rsid w:val="000F1364"/>
    <w:rsid w:val="000F148E"/>
    <w:rsid w:val="000F2953"/>
    <w:rsid w:val="000F2BA8"/>
    <w:rsid w:val="000F2D37"/>
    <w:rsid w:val="000F3064"/>
    <w:rsid w:val="000F339F"/>
    <w:rsid w:val="000F366D"/>
    <w:rsid w:val="000F371B"/>
    <w:rsid w:val="000F49D9"/>
    <w:rsid w:val="000F4ED0"/>
    <w:rsid w:val="000F53ED"/>
    <w:rsid w:val="000F698E"/>
    <w:rsid w:val="000F7190"/>
    <w:rsid w:val="000F7333"/>
    <w:rsid w:val="0010003A"/>
    <w:rsid w:val="0010022E"/>
    <w:rsid w:val="00100730"/>
    <w:rsid w:val="00100FD0"/>
    <w:rsid w:val="00101789"/>
    <w:rsid w:val="001017DD"/>
    <w:rsid w:val="00102034"/>
    <w:rsid w:val="00102236"/>
    <w:rsid w:val="00102435"/>
    <w:rsid w:val="00102E09"/>
    <w:rsid w:val="0010388C"/>
    <w:rsid w:val="00103BB9"/>
    <w:rsid w:val="00103D16"/>
    <w:rsid w:val="0010443E"/>
    <w:rsid w:val="00104680"/>
    <w:rsid w:val="001049FD"/>
    <w:rsid w:val="0010509F"/>
    <w:rsid w:val="001051CC"/>
    <w:rsid w:val="001057E4"/>
    <w:rsid w:val="00105A70"/>
    <w:rsid w:val="00105BFA"/>
    <w:rsid w:val="00105EB5"/>
    <w:rsid w:val="00106800"/>
    <w:rsid w:val="00106ACA"/>
    <w:rsid w:val="00106D5D"/>
    <w:rsid w:val="00107118"/>
    <w:rsid w:val="00107251"/>
    <w:rsid w:val="00107456"/>
    <w:rsid w:val="001077B4"/>
    <w:rsid w:val="00110936"/>
    <w:rsid w:val="00111261"/>
    <w:rsid w:val="00111456"/>
    <w:rsid w:val="001114DC"/>
    <w:rsid w:val="001130F2"/>
    <w:rsid w:val="001137B5"/>
    <w:rsid w:val="00113A8D"/>
    <w:rsid w:val="00113A9C"/>
    <w:rsid w:val="00113B8A"/>
    <w:rsid w:val="001146C0"/>
    <w:rsid w:val="00114850"/>
    <w:rsid w:val="00115037"/>
    <w:rsid w:val="0011504C"/>
    <w:rsid w:val="00115AE5"/>
    <w:rsid w:val="00115CB7"/>
    <w:rsid w:val="00115E2E"/>
    <w:rsid w:val="001167B2"/>
    <w:rsid w:val="0011796C"/>
    <w:rsid w:val="00117D7F"/>
    <w:rsid w:val="00117DAC"/>
    <w:rsid w:val="00120371"/>
    <w:rsid w:val="00120CA7"/>
    <w:rsid w:val="00120D5E"/>
    <w:rsid w:val="00120DFF"/>
    <w:rsid w:val="00120F36"/>
    <w:rsid w:val="0012123F"/>
    <w:rsid w:val="00121244"/>
    <w:rsid w:val="00122E4F"/>
    <w:rsid w:val="00123814"/>
    <w:rsid w:val="00123FBA"/>
    <w:rsid w:val="0012428C"/>
    <w:rsid w:val="00124342"/>
    <w:rsid w:val="00124375"/>
    <w:rsid w:val="00124AE0"/>
    <w:rsid w:val="00126193"/>
    <w:rsid w:val="00126640"/>
    <w:rsid w:val="0012674E"/>
    <w:rsid w:val="001267C1"/>
    <w:rsid w:val="0012717F"/>
    <w:rsid w:val="001272E5"/>
    <w:rsid w:val="00130563"/>
    <w:rsid w:val="00130752"/>
    <w:rsid w:val="00130A55"/>
    <w:rsid w:val="00130ABF"/>
    <w:rsid w:val="00131288"/>
    <w:rsid w:val="001316A7"/>
    <w:rsid w:val="00131953"/>
    <w:rsid w:val="001321A1"/>
    <w:rsid w:val="001325B3"/>
    <w:rsid w:val="00132F5E"/>
    <w:rsid w:val="00133475"/>
    <w:rsid w:val="00134186"/>
    <w:rsid w:val="00134B11"/>
    <w:rsid w:val="00134D8E"/>
    <w:rsid w:val="00134ECD"/>
    <w:rsid w:val="001353EB"/>
    <w:rsid w:val="00135475"/>
    <w:rsid w:val="00135EB0"/>
    <w:rsid w:val="0013620A"/>
    <w:rsid w:val="00136270"/>
    <w:rsid w:val="00136A68"/>
    <w:rsid w:val="001370FA"/>
    <w:rsid w:val="001372A3"/>
    <w:rsid w:val="001402F4"/>
    <w:rsid w:val="00140374"/>
    <w:rsid w:val="00140AB5"/>
    <w:rsid w:val="00140D11"/>
    <w:rsid w:val="00140D77"/>
    <w:rsid w:val="001414E9"/>
    <w:rsid w:val="001416C5"/>
    <w:rsid w:val="00141DAC"/>
    <w:rsid w:val="00142403"/>
    <w:rsid w:val="0014286A"/>
    <w:rsid w:val="001428A2"/>
    <w:rsid w:val="001434AF"/>
    <w:rsid w:val="0014435E"/>
    <w:rsid w:val="001444FC"/>
    <w:rsid w:val="0014463F"/>
    <w:rsid w:val="00144C74"/>
    <w:rsid w:val="00144C83"/>
    <w:rsid w:val="0014567F"/>
    <w:rsid w:val="00146305"/>
    <w:rsid w:val="00147866"/>
    <w:rsid w:val="00147C28"/>
    <w:rsid w:val="00147DC8"/>
    <w:rsid w:val="001500F4"/>
    <w:rsid w:val="00150EA4"/>
    <w:rsid w:val="00151079"/>
    <w:rsid w:val="001522BD"/>
    <w:rsid w:val="0015341C"/>
    <w:rsid w:val="00153DC5"/>
    <w:rsid w:val="00155D9D"/>
    <w:rsid w:val="0015661A"/>
    <w:rsid w:val="00156F98"/>
    <w:rsid w:val="0015787E"/>
    <w:rsid w:val="00157EF5"/>
    <w:rsid w:val="001603B0"/>
    <w:rsid w:val="0016074F"/>
    <w:rsid w:val="001610D4"/>
    <w:rsid w:val="001617DA"/>
    <w:rsid w:val="00161E9A"/>
    <w:rsid w:val="0016203F"/>
    <w:rsid w:val="001624E7"/>
    <w:rsid w:val="0016287C"/>
    <w:rsid w:val="0016306C"/>
    <w:rsid w:val="001632A3"/>
    <w:rsid w:val="001632FD"/>
    <w:rsid w:val="00164709"/>
    <w:rsid w:val="00164AF0"/>
    <w:rsid w:val="00165B59"/>
    <w:rsid w:val="00165EAA"/>
    <w:rsid w:val="00166434"/>
    <w:rsid w:val="0016721E"/>
    <w:rsid w:val="0016740D"/>
    <w:rsid w:val="00170986"/>
    <w:rsid w:val="00170E8D"/>
    <w:rsid w:val="00171066"/>
    <w:rsid w:val="001718B5"/>
    <w:rsid w:val="00171E0E"/>
    <w:rsid w:val="00171E52"/>
    <w:rsid w:val="0017288A"/>
    <w:rsid w:val="0017289C"/>
    <w:rsid w:val="00172B6A"/>
    <w:rsid w:val="00172EFF"/>
    <w:rsid w:val="00173510"/>
    <w:rsid w:val="001739D7"/>
    <w:rsid w:val="001742C0"/>
    <w:rsid w:val="001743B2"/>
    <w:rsid w:val="00174F91"/>
    <w:rsid w:val="00175E60"/>
    <w:rsid w:val="00176537"/>
    <w:rsid w:val="00176C5A"/>
    <w:rsid w:val="00176E4B"/>
    <w:rsid w:val="00177709"/>
    <w:rsid w:val="00177F49"/>
    <w:rsid w:val="00180386"/>
    <w:rsid w:val="00180566"/>
    <w:rsid w:val="00180898"/>
    <w:rsid w:val="00180C21"/>
    <w:rsid w:val="0018119B"/>
    <w:rsid w:val="00181454"/>
    <w:rsid w:val="0018167B"/>
    <w:rsid w:val="0018270B"/>
    <w:rsid w:val="0018286E"/>
    <w:rsid w:val="00182B79"/>
    <w:rsid w:val="001832B0"/>
    <w:rsid w:val="00183E15"/>
    <w:rsid w:val="001843C9"/>
    <w:rsid w:val="00184C52"/>
    <w:rsid w:val="0018526F"/>
    <w:rsid w:val="00185DC7"/>
    <w:rsid w:val="00185FB6"/>
    <w:rsid w:val="0018713A"/>
    <w:rsid w:val="001876FF"/>
    <w:rsid w:val="00187C5A"/>
    <w:rsid w:val="00187DC4"/>
    <w:rsid w:val="001907AC"/>
    <w:rsid w:val="00190A44"/>
    <w:rsid w:val="00190A89"/>
    <w:rsid w:val="00190C86"/>
    <w:rsid w:val="00190D98"/>
    <w:rsid w:val="00190FA2"/>
    <w:rsid w:val="00191091"/>
    <w:rsid w:val="00191CDC"/>
    <w:rsid w:val="00191D6E"/>
    <w:rsid w:val="001923B2"/>
    <w:rsid w:val="00192AA4"/>
    <w:rsid w:val="00192FED"/>
    <w:rsid w:val="00193660"/>
    <w:rsid w:val="00193914"/>
    <w:rsid w:val="0019415B"/>
    <w:rsid w:val="00194763"/>
    <w:rsid w:val="00194A14"/>
    <w:rsid w:val="00194B05"/>
    <w:rsid w:val="00194E3E"/>
    <w:rsid w:val="00195454"/>
    <w:rsid w:val="00195793"/>
    <w:rsid w:val="00195975"/>
    <w:rsid w:val="001965E6"/>
    <w:rsid w:val="00196D14"/>
    <w:rsid w:val="00197278"/>
    <w:rsid w:val="00197576"/>
    <w:rsid w:val="001976B0"/>
    <w:rsid w:val="00197E60"/>
    <w:rsid w:val="00197FE0"/>
    <w:rsid w:val="001A0285"/>
    <w:rsid w:val="001A02FB"/>
    <w:rsid w:val="001A0B23"/>
    <w:rsid w:val="001A0EC9"/>
    <w:rsid w:val="001A12CB"/>
    <w:rsid w:val="001A1D50"/>
    <w:rsid w:val="001A23B5"/>
    <w:rsid w:val="001A37FF"/>
    <w:rsid w:val="001A39E0"/>
    <w:rsid w:val="001A3BCA"/>
    <w:rsid w:val="001A3BF9"/>
    <w:rsid w:val="001A435B"/>
    <w:rsid w:val="001A4B8E"/>
    <w:rsid w:val="001A56AA"/>
    <w:rsid w:val="001A64F2"/>
    <w:rsid w:val="001A6B16"/>
    <w:rsid w:val="001A6EA1"/>
    <w:rsid w:val="001A74BB"/>
    <w:rsid w:val="001A75F8"/>
    <w:rsid w:val="001A783C"/>
    <w:rsid w:val="001A7ED1"/>
    <w:rsid w:val="001B06ED"/>
    <w:rsid w:val="001B10EE"/>
    <w:rsid w:val="001B1C55"/>
    <w:rsid w:val="001B1DA5"/>
    <w:rsid w:val="001B2386"/>
    <w:rsid w:val="001B2B19"/>
    <w:rsid w:val="001B2B6A"/>
    <w:rsid w:val="001B2BCC"/>
    <w:rsid w:val="001B3A47"/>
    <w:rsid w:val="001B3E8E"/>
    <w:rsid w:val="001B41C5"/>
    <w:rsid w:val="001B424A"/>
    <w:rsid w:val="001B6745"/>
    <w:rsid w:val="001B6BAF"/>
    <w:rsid w:val="001B6DD1"/>
    <w:rsid w:val="001B75F3"/>
    <w:rsid w:val="001B7D02"/>
    <w:rsid w:val="001C0168"/>
    <w:rsid w:val="001C0247"/>
    <w:rsid w:val="001C02CC"/>
    <w:rsid w:val="001C0311"/>
    <w:rsid w:val="001C0AC6"/>
    <w:rsid w:val="001C1267"/>
    <w:rsid w:val="001C198D"/>
    <w:rsid w:val="001C23C7"/>
    <w:rsid w:val="001C2E31"/>
    <w:rsid w:val="001C2F19"/>
    <w:rsid w:val="001C36C5"/>
    <w:rsid w:val="001C3AA5"/>
    <w:rsid w:val="001C3B48"/>
    <w:rsid w:val="001C40EF"/>
    <w:rsid w:val="001C4575"/>
    <w:rsid w:val="001C45BF"/>
    <w:rsid w:val="001C47B7"/>
    <w:rsid w:val="001C4A8D"/>
    <w:rsid w:val="001C58A0"/>
    <w:rsid w:val="001C5A56"/>
    <w:rsid w:val="001C6063"/>
    <w:rsid w:val="001C6260"/>
    <w:rsid w:val="001C6732"/>
    <w:rsid w:val="001C6A60"/>
    <w:rsid w:val="001C6AC5"/>
    <w:rsid w:val="001C7266"/>
    <w:rsid w:val="001C762F"/>
    <w:rsid w:val="001C7D6D"/>
    <w:rsid w:val="001C7EB2"/>
    <w:rsid w:val="001D0E59"/>
    <w:rsid w:val="001D1207"/>
    <w:rsid w:val="001D14D4"/>
    <w:rsid w:val="001D18D4"/>
    <w:rsid w:val="001D19B4"/>
    <w:rsid w:val="001D1DA1"/>
    <w:rsid w:val="001D1E01"/>
    <w:rsid w:val="001D2771"/>
    <w:rsid w:val="001D3A2D"/>
    <w:rsid w:val="001D3CF5"/>
    <w:rsid w:val="001D3DB8"/>
    <w:rsid w:val="001D4650"/>
    <w:rsid w:val="001D483B"/>
    <w:rsid w:val="001D4A73"/>
    <w:rsid w:val="001D551F"/>
    <w:rsid w:val="001D56BA"/>
    <w:rsid w:val="001D5D29"/>
    <w:rsid w:val="001D5F24"/>
    <w:rsid w:val="001D619C"/>
    <w:rsid w:val="001D646A"/>
    <w:rsid w:val="001D6770"/>
    <w:rsid w:val="001D681B"/>
    <w:rsid w:val="001D6CDC"/>
    <w:rsid w:val="001D6EC2"/>
    <w:rsid w:val="001D722B"/>
    <w:rsid w:val="001D73B9"/>
    <w:rsid w:val="001D75BF"/>
    <w:rsid w:val="001E0048"/>
    <w:rsid w:val="001E0383"/>
    <w:rsid w:val="001E0BBD"/>
    <w:rsid w:val="001E1540"/>
    <w:rsid w:val="001E3088"/>
    <w:rsid w:val="001E3094"/>
    <w:rsid w:val="001E31DA"/>
    <w:rsid w:val="001E33C1"/>
    <w:rsid w:val="001E47B6"/>
    <w:rsid w:val="001E4F6A"/>
    <w:rsid w:val="001E5195"/>
    <w:rsid w:val="001E52E4"/>
    <w:rsid w:val="001E5B41"/>
    <w:rsid w:val="001E5EDE"/>
    <w:rsid w:val="001E779E"/>
    <w:rsid w:val="001E7BD5"/>
    <w:rsid w:val="001E7FA6"/>
    <w:rsid w:val="001E7FBE"/>
    <w:rsid w:val="001E7FF7"/>
    <w:rsid w:val="001F0102"/>
    <w:rsid w:val="001F019F"/>
    <w:rsid w:val="001F028D"/>
    <w:rsid w:val="001F200E"/>
    <w:rsid w:val="001F215A"/>
    <w:rsid w:val="001F2592"/>
    <w:rsid w:val="001F29CE"/>
    <w:rsid w:val="001F2A28"/>
    <w:rsid w:val="001F2DB7"/>
    <w:rsid w:val="001F31DD"/>
    <w:rsid w:val="001F3A56"/>
    <w:rsid w:val="001F3B40"/>
    <w:rsid w:val="001F3D6A"/>
    <w:rsid w:val="001F4E04"/>
    <w:rsid w:val="001F5CE1"/>
    <w:rsid w:val="001F5F63"/>
    <w:rsid w:val="001F661A"/>
    <w:rsid w:val="001F70A3"/>
    <w:rsid w:val="001F77EE"/>
    <w:rsid w:val="001F794A"/>
    <w:rsid w:val="002000ED"/>
    <w:rsid w:val="002005A6"/>
    <w:rsid w:val="002008C1"/>
    <w:rsid w:val="002015F7"/>
    <w:rsid w:val="00201F45"/>
    <w:rsid w:val="0020208E"/>
    <w:rsid w:val="0020228C"/>
    <w:rsid w:val="00202456"/>
    <w:rsid w:val="002027C5"/>
    <w:rsid w:val="00202806"/>
    <w:rsid w:val="00202CE3"/>
    <w:rsid w:val="002030AE"/>
    <w:rsid w:val="00203123"/>
    <w:rsid w:val="00203437"/>
    <w:rsid w:val="00203A64"/>
    <w:rsid w:val="00203F41"/>
    <w:rsid w:val="002040AA"/>
    <w:rsid w:val="002044AD"/>
    <w:rsid w:val="00204746"/>
    <w:rsid w:val="0020499D"/>
    <w:rsid w:val="002050D0"/>
    <w:rsid w:val="0020517A"/>
    <w:rsid w:val="00205B6D"/>
    <w:rsid w:val="00205C1D"/>
    <w:rsid w:val="00206028"/>
    <w:rsid w:val="002061BC"/>
    <w:rsid w:val="002061E1"/>
    <w:rsid w:val="002062F5"/>
    <w:rsid w:val="00206AF6"/>
    <w:rsid w:val="002074CC"/>
    <w:rsid w:val="002075B5"/>
    <w:rsid w:val="00207C05"/>
    <w:rsid w:val="002104FF"/>
    <w:rsid w:val="002105A6"/>
    <w:rsid w:val="0021070B"/>
    <w:rsid w:val="002110B8"/>
    <w:rsid w:val="00211277"/>
    <w:rsid w:val="002115D1"/>
    <w:rsid w:val="0021230E"/>
    <w:rsid w:val="0021231A"/>
    <w:rsid w:val="00212679"/>
    <w:rsid w:val="00213038"/>
    <w:rsid w:val="00213A23"/>
    <w:rsid w:val="00214194"/>
    <w:rsid w:val="002145C8"/>
    <w:rsid w:val="00214613"/>
    <w:rsid w:val="00214620"/>
    <w:rsid w:val="002146C4"/>
    <w:rsid w:val="0021526E"/>
    <w:rsid w:val="00215578"/>
    <w:rsid w:val="00215D9D"/>
    <w:rsid w:val="00216343"/>
    <w:rsid w:val="00216491"/>
    <w:rsid w:val="00216CD8"/>
    <w:rsid w:val="0021730C"/>
    <w:rsid w:val="00220688"/>
    <w:rsid w:val="00220B1E"/>
    <w:rsid w:val="00221587"/>
    <w:rsid w:val="002217F9"/>
    <w:rsid w:val="00222207"/>
    <w:rsid w:val="002232C8"/>
    <w:rsid w:val="00223376"/>
    <w:rsid w:val="0022356A"/>
    <w:rsid w:val="00223721"/>
    <w:rsid w:val="00223D67"/>
    <w:rsid w:val="00223E58"/>
    <w:rsid w:val="0022452E"/>
    <w:rsid w:val="00224684"/>
    <w:rsid w:val="00225BD3"/>
    <w:rsid w:val="00225D75"/>
    <w:rsid w:val="002267C9"/>
    <w:rsid w:val="00226B42"/>
    <w:rsid w:val="00226F85"/>
    <w:rsid w:val="00226FDC"/>
    <w:rsid w:val="0022750F"/>
    <w:rsid w:val="002279FA"/>
    <w:rsid w:val="002279FD"/>
    <w:rsid w:val="0023002A"/>
    <w:rsid w:val="002304CC"/>
    <w:rsid w:val="00230691"/>
    <w:rsid w:val="00230F31"/>
    <w:rsid w:val="00230F5A"/>
    <w:rsid w:val="002316A6"/>
    <w:rsid w:val="002318E8"/>
    <w:rsid w:val="00232B6B"/>
    <w:rsid w:val="00232FF0"/>
    <w:rsid w:val="002333E8"/>
    <w:rsid w:val="002334E2"/>
    <w:rsid w:val="0023542D"/>
    <w:rsid w:val="00235912"/>
    <w:rsid w:val="00236306"/>
    <w:rsid w:val="002365ED"/>
    <w:rsid w:val="00236750"/>
    <w:rsid w:val="00236867"/>
    <w:rsid w:val="00237698"/>
    <w:rsid w:val="00240A86"/>
    <w:rsid w:val="00240E35"/>
    <w:rsid w:val="002410BC"/>
    <w:rsid w:val="00241870"/>
    <w:rsid w:val="00242213"/>
    <w:rsid w:val="00242650"/>
    <w:rsid w:val="0024314E"/>
    <w:rsid w:val="0024363E"/>
    <w:rsid w:val="0024394B"/>
    <w:rsid w:val="00243C4D"/>
    <w:rsid w:val="00243D09"/>
    <w:rsid w:val="0024401B"/>
    <w:rsid w:val="00244450"/>
    <w:rsid w:val="00244D87"/>
    <w:rsid w:val="002450E0"/>
    <w:rsid w:val="00245416"/>
    <w:rsid w:val="00245B5E"/>
    <w:rsid w:val="00245EF1"/>
    <w:rsid w:val="00246045"/>
    <w:rsid w:val="0024611F"/>
    <w:rsid w:val="00246A95"/>
    <w:rsid w:val="00246F0A"/>
    <w:rsid w:val="00247107"/>
    <w:rsid w:val="002476F2"/>
    <w:rsid w:val="002477B9"/>
    <w:rsid w:val="002508E5"/>
    <w:rsid w:val="00250A04"/>
    <w:rsid w:val="00250AE5"/>
    <w:rsid w:val="002518F4"/>
    <w:rsid w:val="002525D8"/>
    <w:rsid w:val="00252D5B"/>
    <w:rsid w:val="00253017"/>
    <w:rsid w:val="00254BE7"/>
    <w:rsid w:val="00254CA3"/>
    <w:rsid w:val="00255264"/>
    <w:rsid w:val="002556E6"/>
    <w:rsid w:val="00255BD2"/>
    <w:rsid w:val="00255F2F"/>
    <w:rsid w:val="00256049"/>
    <w:rsid w:val="002569D1"/>
    <w:rsid w:val="00256AB6"/>
    <w:rsid w:val="00257DA1"/>
    <w:rsid w:val="00260488"/>
    <w:rsid w:val="00260775"/>
    <w:rsid w:val="002610CC"/>
    <w:rsid w:val="002613CD"/>
    <w:rsid w:val="0026237E"/>
    <w:rsid w:val="00263A03"/>
    <w:rsid w:val="00263BB5"/>
    <w:rsid w:val="00263F55"/>
    <w:rsid w:val="002643B0"/>
    <w:rsid w:val="002648D9"/>
    <w:rsid w:val="00265292"/>
    <w:rsid w:val="0026533D"/>
    <w:rsid w:val="0026568E"/>
    <w:rsid w:val="00265954"/>
    <w:rsid w:val="00265A6E"/>
    <w:rsid w:val="00265BDE"/>
    <w:rsid w:val="00266B65"/>
    <w:rsid w:val="00266CA9"/>
    <w:rsid w:val="00266CFE"/>
    <w:rsid w:val="002672BD"/>
    <w:rsid w:val="002675EE"/>
    <w:rsid w:val="0026777C"/>
    <w:rsid w:val="00267801"/>
    <w:rsid w:val="002678F6"/>
    <w:rsid w:val="00267E91"/>
    <w:rsid w:val="002702B2"/>
    <w:rsid w:val="0027089F"/>
    <w:rsid w:val="00271D73"/>
    <w:rsid w:val="00273957"/>
    <w:rsid w:val="00274547"/>
    <w:rsid w:val="00274E1F"/>
    <w:rsid w:val="0027511E"/>
    <w:rsid w:val="00275234"/>
    <w:rsid w:val="00275395"/>
    <w:rsid w:val="00275823"/>
    <w:rsid w:val="00275D3B"/>
    <w:rsid w:val="00275E60"/>
    <w:rsid w:val="00276018"/>
    <w:rsid w:val="00276041"/>
    <w:rsid w:val="00276874"/>
    <w:rsid w:val="002776B3"/>
    <w:rsid w:val="002807F8"/>
    <w:rsid w:val="00280E27"/>
    <w:rsid w:val="002813D6"/>
    <w:rsid w:val="00281437"/>
    <w:rsid w:val="00281541"/>
    <w:rsid w:val="00281AAF"/>
    <w:rsid w:val="00281F41"/>
    <w:rsid w:val="002827B5"/>
    <w:rsid w:val="002838FD"/>
    <w:rsid w:val="0028395A"/>
    <w:rsid w:val="00283AC6"/>
    <w:rsid w:val="00284078"/>
    <w:rsid w:val="00284AD1"/>
    <w:rsid w:val="00285264"/>
    <w:rsid w:val="00287465"/>
    <w:rsid w:val="00290DC7"/>
    <w:rsid w:val="002910EE"/>
    <w:rsid w:val="0029121F"/>
    <w:rsid w:val="00291489"/>
    <w:rsid w:val="00291644"/>
    <w:rsid w:val="00291D2B"/>
    <w:rsid w:val="002920A9"/>
    <w:rsid w:val="00292227"/>
    <w:rsid w:val="00292A28"/>
    <w:rsid w:val="00293105"/>
    <w:rsid w:val="00293A0E"/>
    <w:rsid w:val="00293B3C"/>
    <w:rsid w:val="00293C25"/>
    <w:rsid w:val="00294675"/>
    <w:rsid w:val="0029481F"/>
    <w:rsid w:val="00294BD8"/>
    <w:rsid w:val="00294ECC"/>
    <w:rsid w:val="0029541E"/>
    <w:rsid w:val="00295ED6"/>
    <w:rsid w:val="002960E3"/>
    <w:rsid w:val="002964B2"/>
    <w:rsid w:val="0029686D"/>
    <w:rsid w:val="00296F94"/>
    <w:rsid w:val="0029726F"/>
    <w:rsid w:val="00297B8D"/>
    <w:rsid w:val="002A0319"/>
    <w:rsid w:val="002A038D"/>
    <w:rsid w:val="002A0538"/>
    <w:rsid w:val="002A0830"/>
    <w:rsid w:val="002A1C9B"/>
    <w:rsid w:val="002A2A11"/>
    <w:rsid w:val="002A3381"/>
    <w:rsid w:val="002A3577"/>
    <w:rsid w:val="002A3B6E"/>
    <w:rsid w:val="002A429C"/>
    <w:rsid w:val="002A438E"/>
    <w:rsid w:val="002A44F5"/>
    <w:rsid w:val="002A50B5"/>
    <w:rsid w:val="002A5411"/>
    <w:rsid w:val="002A54ED"/>
    <w:rsid w:val="002A5940"/>
    <w:rsid w:val="002A5967"/>
    <w:rsid w:val="002A5F5E"/>
    <w:rsid w:val="002A655A"/>
    <w:rsid w:val="002A6C59"/>
    <w:rsid w:val="002A6DAC"/>
    <w:rsid w:val="002A71D4"/>
    <w:rsid w:val="002A77CE"/>
    <w:rsid w:val="002A7F51"/>
    <w:rsid w:val="002B097C"/>
    <w:rsid w:val="002B0D28"/>
    <w:rsid w:val="002B0D5B"/>
    <w:rsid w:val="002B0D71"/>
    <w:rsid w:val="002B0F55"/>
    <w:rsid w:val="002B13EC"/>
    <w:rsid w:val="002B1791"/>
    <w:rsid w:val="002B1D28"/>
    <w:rsid w:val="002B2C9A"/>
    <w:rsid w:val="002B2D3E"/>
    <w:rsid w:val="002B2E77"/>
    <w:rsid w:val="002B32A1"/>
    <w:rsid w:val="002B3310"/>
    <w:rsid w:val="002B37E4"/>
    <w:rsid w:val="002B3EBA"/>
    <w:rsid w:val="002B4D9D"/>
    <w:rsid w:val="002B4EDF"/>
    <w:rsid w:val="002B4FDE"/>
    <w:rsid w:val="002B5AF7"/>
    <w:rsid w:val="002B5D64"/>
    <w:rsid w:val="002B5F96"/>
    <w:rsid w:val="002B66F1"/>
    <w:rsid w:val="002B6A0C"/>
    <w:rsid w:val="002B6E99"/>
    <w:rsid w:val="002C0D98"/>
    <w:rsid w:val="002C1215"/>
    <w:rsid w:val="002C1851"/>
    <w:rsid w:val="002C251E"/>
    <w:rsid w:val="002C2F6E"/>
    <w:rsid w:val="002C3112"/>
    <w:rsid w:val="002C34E6"/>
    <w:rsid w:val="002C4328"/>
    <w:rsid w:val="002C4903"/>
    <w:rsid w:val="002C571C"/>
    <w:rsid w:val="002C597C"/>
    <w:rsid w:val="002C5AC5"/>
    <w:rsid w:val="002C5FC8"/>
    <w:rsid w:val="002C6598"/>
    <w:rsid w:val="002C69CC"/>
    <w:rsid w:val="002C7515"/>
    <w:rsid w:val="002C79C5"/>
    <w:rsid w:val="002D03A7"/>
    <w:rsid w:val="002D1004"/>
    <w:rsid w:val="002D1450"/>
    <w:rsid w:val="002D1ED3"/>
    <w:rsid w:val="002D210A"/>
    <w:rsid w:val="002D27F5"/>
    <w:rsid w:val="002D2BC4"/>
    <w:rsid w:val="002D2D77"/>
    <w:rsid w:val="002D3CC8"/>
    <w:rsid w:val="002D41A6"/>
    <w:rsid w:val="002D4685"/>
    <w:rsid w:val="002D4739"/>
    <w:rsid w:val="002D48BF"/>
    <w:rsid w:val="002D4EC8"/>
    <w:rsid w:val="002D53D6"/>
    <w:rsid w:val="002D54FC"/>
    <w:rsid w:val="002D5737"/>
    <w:rsid w:val="002D6327"/>
    <w:rsid w:val="002D64EC"/>
    <w:rsid w:val="002D6C60"/>
    <w:rsid w:val="002D7995"/>
    <w:rsid w:val="002D7ACC"/>
    <w:rsid w:val="002D7DB2"/>
    <w:rsid w:val="002E08D4"/>
    <w:rsid w:val="002E1D70"/>
    <w:rsid w:val="002E1F1D"/>
    <w:rsid w:val="002E21D6"/>
    <w:rsid w:val="002E22DA"/>
    <w:rsid w:val="002E2E90"/>
    <w:rsid w:val="002E2F88"/>
    <w:rsid w:val="002E3290"/>
    <w:rsid w:val="002E342F"/>
    <w:rsid w:val="002E3755"/>
    <w:rsid w:val="002E4537"/>
    <w:rsid w:val="002E45EA"/>
    <w:rsid w:val="002E4B5D"/>
    <w:rsid w:val="002E55CE"/>
    <w:rsid w:val="002E5908"/>
    <w:rsid w:val="002E5B7E"/>
    <w:rsid w:val="002E73BF"/>
    <w:rsid w:val="002E7AD5"/>
    <w:rsid w:val="002E7DC6"/>
    <w:rsid w:val="002F0412"/>
    <w:rsid w:val="002F04E2"/>
    <w:rsid w:val="002F0B95"/>
    <w:rsid w:val="002F1A39"/>
    <w:rsid w:val="002F1BCC"/>
    <w:rsid w:val="002F1EAC"/>
    <w:rsid w:val="002F23BF"/>
    <w:rsid w:val="002F2796"/>
    <w:rsid w:val="002F288A"/>
    <w:rsid w:val="002F2B63"/>
    <w:rsid w:val="002F3BF8"/>
    <w:rsid w:val="002F3DCB"/>
    <w:rsid w:val="002F482B"/>
    <w:rsid w:val="002F4D32"/>
    <w:rsid w:val="002F53EB"/>
    <w:rsid w:val="002F55B8"/>
    <w:rsid w:val="002F5968"/>
    <w:rsid w:val="002F5E42"/>
    <w:rsid w:val="002F768E"/>
    <w:rsid w:val="002F79E6"/>
    <w:rsid w:val="002F7D64"/>
    <w:rsid w:val="002F7F8D"/>
    <w:rsid w:val="003008E5"/>
    <w:rsid w:val="00300B3C"/>
    <w:rsid w:val="00300C41"/>
    <w:rsid w:val="003016F3"/>
    <w:rsid w:val="00301777"/>
    <w:rsid w:val="00301BBA"/>
    <w:rsid w:val="00301E5B"/>
    <w:rsid w:val="00302200"/>
    <w:rsid w:val="0030235F"/>
    <w:rsid w:val="00302FE1"/>
    <w:rsid w:val="0030381F"/>
    <w:rsid w:val="003038D3"/>
    <w:rsid w:val="00303B59"/>
    <w:rsid w:val="00303E8E"/>
    <w:rsid w:val="0030432F"/>
    <w:rsid w:val="00304700"/>
    <w:rsid w:val="00304D4D"/>
    <w:rsid w:val="00304EFA"/>
    <w:rsid w:val="00305AB1"/>
    <w:rsid w:val="003066E1"/>
    <w:rsid w:val="00306AE8"/>
    <w:rsid w:val="003071C6"/>
    <w:rsid w:val="003104DC"/>
    <w:rsid w:val="0031081F"/>
    <w:rsid w:val="00310B1F"/>
    <w:rsid w:val="00310C65"/>
    <w:rsid w:val="00310C8A"/>
    <w:rsid w:val="003110CB"/>
    <w:rsid w:val="003116C7"/>
    <w:rsid w:val="00311EC0"/>
    <w:rsid w:val="00312150"/>
    <w:rsid w:val="00312D2D"/>
    <w:rsid w:val="00313A03"/>
    <w:rsid w:val="00313AB0"/>
    <w:rsid w:val="00313C4C"/>
    <w:rsid w:val="00313F11"/>
    <w:rsid w:val="0031458D"/>
    <w:rsid w:val="0031544D"/>
    <w:rsid w:val="00315478"/>
    <w:rsid w:val="00315940"/>
    <w:rsid w:val="0031645B"/>
    <w:rsid w:val="003165F6"/>
    <w:rsid w:val="00316D73"/>
    <w:rsid w:val="0031788B"/>
    <w:rsid w:val="00317F46"/>
    <w:rsid w:val="00320549"/>
    <w:rsid w:val="003205A2"/>
    <w:rsid w:val="00321327"/>
    <w:rsid w:val="00321492"/>
    <w:rsid w:val="00321C52"/>
    <w:rsid w:val="00321CD2"/>
    <w:rsid w:val="00322C11"/>
    <w:rsid w:val="00322EBE"/>
    <w:rsid w:val="00323176"/>
    <w:rsid w:val="003231FF"/>
    <w:rsid w:val="00323266"/>
    <w:rsid w:val="00323AAF"/>
    <w:rsid w:val="00323E22"/>
    <w:rsid w:val="0032455D"/>
    <w:rsid w:val="00324E03"/>
    <w:rsid w:val="00326C2D"/>
    <w:rsid w:val="00327DC1"/>
    <w:rsid w:val="00330154"/>
    <w:rsid w:val="003301F4"/>
    <w:rsid w:val="003302CF"/>
    <w:rsid w:val="003303C5"/>
    <w:rsid w:val="00330FF5"/>
    <w:rsid w:val="00331975"/>
    <w:rsid w:val="00331B3B"/>
    <w:rsid w:val="003324D6"/>
    <w:rsid w:val="00333DC0"/>
    <w:rsid w:val="00334E5D"/>
    <w:rsid w:val="00335047"/>
    <w:rsid w:val="003355AD"/>
    <w:rsid w:val="0033565B"/>
    <w:rsid w:val="00335718"/>
    <w:rsid w:val="00335C50"/>
    <w:rsid w:val="00335D12"/>
    <w:rsid w:val="00335E23"/>
    <w:rsid w:val="0033601C"/>
    <w:rsid w:val="003365B9"/>
    <w:rsid w:val="00336665"/>
    <w:rsid w:val="00336ED0"/>
    <w:rsid w:val="003373B8"/>
    <w:rsid w:val="0033753E"/>
    <w:rsid w:val="00337BE6"/>
    <w:rsid w:val="00340246"/>
    <w:rsid w:val="00340A59"/>
    <w:rsid w:val="00340AB0"/>
    <w:rsid w:val="00340E3F"/>
    <w:rsid w:val="00341A42"/>
    <w:rsid w:val="00341F34"/>
    <w:rsid w:val="00342216"/>
    <w:rsid w:val="003423EB"/>
    <w:rsid w:val="003425AD"/>
    <w:rsid w:val="003427AA"/>
    <w:rsid w:val="00342AF5"/>
    <w:rsid w:val="003434A4"/>
    <w:rsid w:val="003434AE"/>
    <w:rsid w:val="00343967"/>
    <w:rsid w:val="00344221"/>
    <w:rsid w:val="003452B9"/>
    <w:rsid w:val="00345B50"/>
    <w:rsid w:val="00345BB5"/>
    <w:rsid w:val="00345FD6"/>
    <w:rsid w:val="003470BE"/>
    <w:rsid w:val="00347299"/>
    <w:rsid w:val="00347338"/>
    <w:rsid w:val="00350485"/>
    <w:rsid w:val="00350936"/>
    <w:rsid w:val="00350B08"/>
    <w:rsid w:val="00350B0E"/>
    <w:rsid w:val="00350FB3"/>
    <w:rsid w:val="003511F4"/>
    <w:rsid w:val="00351416"/>
    <w:rsid w:val="0035183B"/>
    <w:rsid w:val="0035204A"/>
    <w:rsid w:val="003530D3"/>
    <w:rsid w:val="00353154"/>
    <w:rsid w:val="0035318F"/>
    <w:rsid w:val="00353632"/>
    <w:rsid w:val="0035386F"/>
    <w:rsid w:val="00353DD6"/>
    <w:rsid w:val="00353DE7"/>
    <w:rsid w:val="00355135"/>
    <w:rsid w:val="003551BC"/>
    <w:rsid w:val="00355353"/>
    <w:rsid w:val="0035537D"/>
    <w:rsid w:val="0035563A"/>
    <w:rsid w:val="0035587D"/>
    <w:rsid w:val="003564AD"/>
    <w:rsid w:val="00357063"/>
    <w:rsid w:val="00357F2C"/>
    <w:rsid w:val="003608A1"/>
    <w:rsid w:val="00360A44"/>
    <w:rsid w:val="00361158"/>
    <w:rsid w:val="003617BF"/>
    <w:rsid w:val="0036197F"/>
    <w:rsid w:val="00361B2F"/>
    <w:rsid w:val="00362505"/>
    <w:rsid w:val="00363246"/>
    <w:rsid w:val="00363C4E"/>
    <w:rsid w:val="00363ED4"/>
    <w:rsid w:val="00363F85"/>
    <w:rsid w:val="00363F92"/>
    <w:rsid w:val="0036502D"/>
    <w:rsid w:val="003652FD"/>
    <w:rsid w:val="00365AC9"/>
    <w:rsid w:val="00365DBD"/>
    <w:rsid w:val="00366D2B"/>
    <w:rsid w:val="003677CD"/>
    <w:rsid w:val="00370FA5"/>
    <w:rsid w:val="00371122"/>
    <w:rsid w:val="003719CC"/>
    <w:rsid w:val="00371D96"/>
    <w:rsid w:val="00371E5D"/>
    <w:rsid w:val="003722CB"/>
    <w:rsid w:val="003726A1"/>
    <w:rsid w:val="0037274E"/>
    <w:rsid w:val="0037368E"/>
    <w:rsid w:val="003736A1"/>
    <w:rsid w:val="00373DC9"/>
    <w:rsid w:val="00373E3B"/>
    <w:rsid w:val="00374A28"/>
    <w:rsid w:val="003751BB"/>
    <w:rsid w:val="00375FE8"/>
    <w:rsid w:val="00376764"/>
    <w:rsid w:val="00376947"/>
    <w:rsid w:val="003770AE"/>
    <w:rsid w:val="003771F0"/>
    <w:rsid w:val="00380039"/>
    <w:rsid w:val="00380451"/>
    <w:rsid w:val="003806FC"/>
    <w:rsid w:val="0038079F"/>
    <w:rsid w:val="0038181E"/>
    <w:rsid w:val="00381A6A"/>
    <w:rsid w:val="00381B94"/>
    <w:rsid w:val="00382B08"/>
    <w:rsid w:val="00382B0D"/>
    <w:rsid w:val="00383D50"/>
    <w:rsid w:val="00384A7F"/>
    <w:rsid w:val="00384BC6"/>
    <w:rsid w:val="00384E8B"/>
    <w:rsid w:val="00385915"/>
    <w:rsid w:val="00387158"/>
    <w:rsid w:val="003877DC"/>
    <w:rsid w:val="003877E0"/>
    <w:rsid w:val="00387E1A"/>
    <w:rsid w:val="0039007F"/>
    <w:rsid w:val="003900FB"/>
    <w:rsid w:val="00390261"/>
    <w:rsid w:val="003902B4"/>
    <w:rsid w:val="0039084E"/>
    <w:rsid w:val="003908B1"/>
    <w:rsid w:val="003918DF"/>
    <w:rsid w:val="00391E32"/>
    <w:rsid w:val="00392332"/>
    <w:rsid w:val="003927D4"/>
    <w:rsid w:val="00392B7B"/>
    <w:rsid w:val="00392BA5"/>
    <w:rsid w:val="00393090"/>
    <w:rsid w:val="003931C1"/>
    <w:rsid w:val="00393693"/>
    <w:rsid w:val="00393954"/>
    <w:rsid w:val="00393CC8"/>
    <w:rsid w:val="00393CCF"/>
    <w:rsid w:val="00393EAD"/>
    <w:rsid w:val="00393EDA"/>
    <w:rsid w:val="003941CD"/>
    <w:rsid w:val="0039465D"/>
    <w:rsid w:val="00394BD2"/>
    <w:rsid w:val="00395056"/>
    <w:rsid w:val="00395288"/>
    <w:rsid w:val="003956E3"/>
    <w:rsid w:val="00396104"/>
    <w:rsid w:val="00397247"/>
    <w:rsid w:val="00397387"/>
    <w:rsid w:val="00397E28"/>
    <w:rsid w:val="003A12A8"/>
    <w:rsid w:val="003A1A21"/>
    <w:rsid w:val="003A2716"/>
    <w:rsid w:val="003A285F"/>
    <w:rsid w:val="003A2988"/>
    <w:rsid w:val="003A2D14"/>
    <w:rsid w:val="003A33F9"/>
    <w:rsid w:val="003A36F4"/>
    <w:rsid w:val="003A398D"/>
    <w:rsid w:val="003A3CDD"/>
    <w:rsid w:val="003A3D52"/>
    <w:rsid w:val="003A44FD"/>
    <w:rsid w:val="003A4AE0"/>
    <w:rsid w:val="003A520A"/>
    <w:rsid w:val="003A537F"/>
    <w:rsid w:val="003A561B"/>
    <w:rsid w:val="003A5716"/>
    <w:rsid w:val="003A5817"/>
    <w:rsid w:val="003A5DAD"/>
    <w:rsid w:val="003A60E9"/>
    <w:rsid w:val="003A61BF"/>
    <w:rsid w:val="003A6334"/>
    <w:rsid w:val="003A64A0"/>
    <w:rsid w:val="003A6E81"/>
    <w:rsid w:val="003A74FB"/>
    <w:rsid w:val="003A7863"/>
    <w:rsid w:val="003A7D71"/>
    <w:rsid w:val="003B057B"/>
    <w:rsid w:val="003B16F6"/>
    <w:rsid w:val="003B17BF"/>
    <w:rsid w:val="003B1D9F"/>
    <w:rsid w:val="003B1E19"/>
    <w:rsid w:val="003B20E3"/>
    <w:rsid w:val="003B21AE"/>
    <w:rsid w:val="003B2972"/>
    <w:rsid w:val="003B2B63"/>
    <w:rsid w:val="003B2E59"/>
    <w:rsid w:val="003B3915"/>
    <w:rsid w:val="003B3FF3"/>
    <w:rsid w:val="003B4458"/>
    <w:rsid w:val="003B4B01"/>
    <w:rsid w:val="003B5455"/>
    <w:rsid w:val="003B57D5"/>
    <w:rsid w:val="003B57E6"/>
    <w:rsid w:val="003B617C"/>
    <w:rsid w:val="003B6A5B"/>
    <w:rsid w:val="003B6FB3"/>
    <w:rsid w:val="003B70A1"/>
    <w:rsid w:val="003B71A9"/>
    <w:rsid w:val="003B724B"/>
    <w:rsid w:val="003B72DB"/>
    <w:rsid w:val="003B7C5A"/>
    <w:rsid w:val="003B7F04"/>
    <w:rsid w:val="003C0720"/>
    <w:rsid w:val="003C0ADA"/>
    <w:rsid w:val="003C0B33"/>
    <w:rsid w:val="003C0E0B"/>
    <w:rsid w:val="003C14EE"/>
    <w:rsid w:val="003C1B8C"/>
    <w:rsid w:val="003C359C"/>
    <w:rsid w:val="003C4226"/>
    <w:rsid w:val="003C5E65"/>
    <w:rsid w:val="003C670D"/>
    <w:rsid w:val="003C67CB"/>
    <w:rsid w:val="003C755B"/>
    <w:rsid w:val="003C7E9A"/>
    <w:rsid w:val="003D02BF"/>
    <w:rsid w:val="003D154B"/>
    <w:rsid w:val="003D1F86"/>
    <w:rsid w:val="003D22A6"/>
    <w:rsid w:val="003D2526"/>
    <w:rsid w:val="003D2545"/>
    <w:rsid w:val="003D2758"/>
    <w:rsid w:val="003D28A4"/>
    <w:rsid w:val="003D31DB"/>
    <w:rsid w:val="003D3246"/>
    <w:rsid w:val="003D32C2"/>
    <w:rsid w:val="003D3435"/>
    <w:rsid w:val="003D37CA"/>
    <w:rsid w:val="003D39F3"/>
    <w:rsid w:val="003D3D21"/>
    <w:rsid w:val="003D404A"/>
    <w:rsid w:val="003D4164"/>
    <w:rsid w:val="003D44F4"/>
    <w:rsid w:val="003D4AFA"/>
    <w:rsid w:val="003D59C8"/>
    <w:rsid w:val="003D66AE"/>
    <w:rsid w:val="003D7009"/>
    <w:rsid w:val="003D71CD"/>
    <w:rsid w:val="003D79F6"/>
    <w:rsid w:val="003E03DC"/>
    <w:rsid w:val="003E050E"/>
    <w:rsid w:val="003E09E8"/>
    <w:rsid w:val="003E09F6"/>
    <w:rsid w:val="003E0B23"/>
    <w:rsid w:val="003E14E9"/>
    <w:rsid w:val="003E194E"/>
    <w:rsid w:val="003E1950"/>
    <w:rsid w:val="003E1B3F"/>
    <w:rsid w:val="003E1BFE"/>
    <w:rsid w:val="003E1E56"/>
    <w:rsid w:val="003E1EE5"/>
    <w:rsid w:val="003E234D"/>
    <w:rsid w:val="003E249D"/>
    <w:rsid w:val="003E37B7"/>
    <w:rsid w:val="003E3E17"/>
    <w:rsid w:val="003E41D8"/>
    <w:rsid w:val="003E4F49"/>
    <w:rsid w:val="003E5C4E"/>
    <w:rsid w:val="003E62C0"/>
    <w:rsid w:val="003E66A8"/>
    <w:rsid w:val="003E679A"/>
    <w:rsid w:val="003E67BC"/>
    <w:rsid w:val="003E7233"/>
    <w:rsid w:val="003E74FE"/>
    <w:rsid w:val="003E77F6"/>
    <w:rsid w:val="003F05D9"/>
    <w:rsid w:val="003F0C03"/>
    <w:rsid w:val="003F0EB1"/>
    <w:rsid w:val="003F10BB"/>
    <w:rsid w:val="003F110A"/>
    <w:rsid w:val="003F1A9D"/>
    <w:rsid w:val="003F228E"/>
    <w:rsid w:val="003F2705"/>
    <w:rsid w:val="003F2771"/>
    <w:rsid w:val="003F2EF3"/>
    <w:rsid w:val="003F3914"/>
    <w:rsid w:val="003F3D66"/>
    <w:rsid w:val="003F3FDD"/>
    <w:rsid w:val="003F48EF"/>
    <w:rsid w:val="003F4DB1"/>
    <w:rsid w:val="003F5B45"/>
    <w:rsid w:val="003F6009"/>
    <w:rsid w:val="003F667E"/>
    <w:rsid w:val="003F6A6A"/>
    <w:rsid w:val="003F6D92"/>
    <w:rsid w:val="003F73E9"/>
    <w:rsid w:val="003F7EAC"/>
    <w:rsid w:val="00400512"/>
    <w:rsid w:val="00400526"/>
    <w:rsid w:val="004008D5"/>
    <w:rsid w:val="00400CD2"/>
    <w:rsid w:val="00401014"/>
    <w:rsid w:val="00401202"/>
    <w:rsid w:val="004013CE"/>
    <w:rsid w:val="0040215B"/>
    <w:rsid w:val="004021A6"/>
    <w:rsid w:val="004023DE"/>
    <w:rsid w:val="004027DB"/>
    <w:rsid w:val="004032D5"/>
    <w:rsid w:val="00403763"/>
    <w:rsid w:val="004038E7"/>
    <w:rsid w:val="0040440C"/>
    <w:rsid w:val="00404442"/>
    <w:rsid w:val="0040501B"/>
    <w:rsid w:val="004050AF"/>
    <w:rsid w:val="0040521C"/>
    <w:rsid w:val="00405301"/>
    <w:rsid w:val="0040630C"/>
    <w:rsid w:val="004073E5"/>
    <w:rsid w:val="00410C6A"/>
    <w:rsid w:val="00411BD6"/>
    <w:rsid w:val="00412659"/>
    <w:rsid w:val="004133B8"/>
    <w:rsid w:val="00413989"/>
    <w:rsid w:val="0041416D"/>
    <w:rsid w:val="00415288"/>
    <w:rsid w:val="004156F2"/>
    <w:rsid w:val="0041635F"/>
    <w:rsid w:val="0041654B"/>
    <w:rsid w:val="004166C5"/>
    <w:rsid w:val="00416D13"/>
    <w:rsid w:val="004177E6"/>
    <w:rsid w:val="00417BE7"/>
    <w:rsid w:val="00417EED"/>
    <w:rsid w:val="00417F7A"/>
    <w:rsid w:val="00420052"/>
    <w:rsid w:val="00420297"/>
    <w:rsid w:val="004204B1"/>
    <w:rsid w:val="0042058C"/>
    <w:rsid w:val="0042086D"/>
    <w:rsid w:val="00420A77"/>
    <w:rsid w:val="00420B7F"/>
    <w:rsid w:val="0042100B"/>
    <w:rsid w:val="00421537"/>
    <w:rsid w:val="004225A1"/>
    <w:rsid w:val="00422D4A"/>
    <w:rsid w:val="00423635"/>
    <w:rsid w:val="0042378F"/>
    <w:rsid w:val="00424908"/>
    <w:rsid w:val="00424DFC"/>
    <w:rsid w:val="00425027"/>
    <w:rsid w:val="004254B9"/>
    <w:rsid w:val="00425772"/>
    <w:rsid w:val="00425AE5"/>
    <w:rsid w:val="004261BC"/>
    <w:rsid w:val="00427594"/>
    <w:rsid w:val="004275FB"/>
    <w:rsid w:val="00427A2F"/>
    <w:rsid w:val="00427F68"/>
    <w:rsid w:val="00430133"/>
    <w:rsid w:val="004307D9"/>
    <w:rsid w:val="00430C19"/>
    <w:rsid w:val="00430C48"/>
    <w:rsid w:val="00430E07"/>
    <w:rsid w:val="0043103A"/>
    <w:rsid w:val="004311D4"/>
    <w:rsid w:val="004312C5"/>
    <w:rsid w:val="00431B18"/>
    <w:rsid w:val="00432384"/>
    <w:rsid w:val="0043338B"/>
    <w:rsid w:val="004337CA"/>
    <w:rsid w:val="004342E5"/>
    <w:rsid w:val="00434B16"/>
    <w:rsid w:val="004353E4"/>
    <w:rsid w:val="00436444"/>
    <w:rsid w:val="00436F3C"/>
    <w:rsid w:val="00437224"/>
    <w:rsid w:val="00437AE4"/>
    <w:rsid w:val="00440F64"/>
    <w:rsid w:val="00440FA1"/>
    <w:rsid w:val="004418D6"/>
    <w:rsid w:val="00442076"/>
    <w:rsid w:val="004429D0"/>
    <w:rsid w:val="004429E1"/>
    <w:rsid w:val="0044318C"/>
    <w:rsid w:val="00443198"/>
    <w:rsid w:val="00443326"/>
    <w:rsid w:val="00443B99"/>
    <w:rsid w:val="00443E4B"/>
    <w:rsid w:val="00443E96"/>
    <w:rsid w:val="00444299"/>
    <w:rsid w:val="0044450A"/>
    <w:rsid w:val="00444BE1"/>
    <w:rsid w:val="00444D9B"/>
    <w:rsid w:val="004453EB"/>
    <w:rsid w:val="00445508"/>
    <w:rsid w:val="00445A08"/>
    <w:rsid w:val="00445A61"/>
    <w:rsid w:val="00445FB4"/>
    <w:rsid w:val="00446811"/>
    <w:rsid w:val="00446DFF"/>
    <w:rsid w:val="0044714E"/>
    <w:rsid w:val="00447378"/>
    <w:rsid w:val="004473F4"/>
    <w:rsid w:val="004479CD"/>
    <w:rsid w:val="00447CC1"/>
    <w:rsid w:val="00447FB7"/>
    <w:rsid w:val="004513DD"/>
    <w:rsid w:val="0045194D"/>
    <w:rsid w:val="00452983"/>
    <w:rsid w:val="00452A20"/>
    <w:rsid w:val="00453ED1"/>
    <w:rsid w:val="004545E3"/>
    <w:rsid w:val="004546C1"/>
    <w:rsid w:val="00457573"/>
    <w:rsid w:val="00457CFA"/>
    <w:rsid w:val="0046047F"/>
    <w:rsid w:val="004605C9"/>
    <w:rsid w:val="00460B70"/>
    <w:rsid w:val="00461039"/>
    <w:rsid w:val="00461238"/>
    <w:rsid w:val="004614F1"/>
    <w:rsid w:val="004619FF"/>
    <w:rsid w:val="00462672"/>
    <w:rsid w:val="00462BEA"/>
    <w:rsid w:val="00462CFE"/>
    <w:rsid w:val="004632E4"/>
    <w:rsid w:val="00463386"/>
    <w:rsid w:val="004635FE"/>
    <w:rsid w:val="004646DC"/>
    <w:rsid w:val="00464F32"/>
    <w:rsid w:val="0046516D"/>
    <w:rsid w:val="00465366"/>
    <w:rsid w:val="00465408"/>
    <w:rsid w:val="004654A0"/>
    <w:rsid w:val="004654CF"/>
    <w:rsid w:val="00465579"/>
    <w:rsid w:val="00465870"/>
    <w:rsid w:val="00465D75"/>
    <w:rsid w:val="00465FD6"/>
    <w:rsid w:val="0046661F"/>
    <w:rsid w:val="004669D1"/>
    <w:rsid w:val="00466C71"/>
    <w:rsid w:val="004670AC"/>
    <w:rsid w:val="00467101"/>
    <w:rsid w:val="00467694"/>
    <w:rsid w:val="00467A27"/>
    <w:rsid w:val="00467CDD"/>
    <w:rsid w:val="00470085"/>
    <w:rsid w:val="00470E07"/>
    <w:rsid w:val="0047175E"/>
    <w:rsid w:val="00471D45"/>
    <w:rsid w:val="00472830"/>
    <w:rsid w:val="00472E39"/>
    <w:rsid w:val="004737F7"/>
    <w:rsid w:val="00473B54"/>
    <w:rsid w:val="00473C1A"/>
    <w:rsid w:val="004748B0"/>
    <w:rsid w:val="00474BF2"/>
    <w:rsid w:val="00474D25"/>
    <w:rsid w:val="004763F6"/>
    <w:rsid w:val="004765C5"/>
    <w:rsid w:val="004773D1"/>
    <w:rsid w:val="0047750C"/>
    <w:rsid w:val="00477931"/>
    <w:rsid w:val="00477D54"/>
    <w:rsid w:val="004803C2"/>
    <w:rsid w:val="0048053E"/>
    <w:rsid w:val="00480999"/>
    <w:rsid w:val="00480F9E"/>
    <w:rsid w:val="00480FA2"/>
    <w:rsid w:val="004816FA"/>
    <w:rsid w:val="00482925"/>
    <w:rsid w:val="00483708"/>
    <w:rsid w:val="0048382D"/>
    <w:rsid w:val="00483F53"/>
    <w:rsid w:val="004840B4"/>
    <w:rsid w:val="004842B4"/>
    <w:rsid w:val="00484376"/>
    <w:rsid w:val="004848FA"/>
    <w:rsid w:val="004852D9"/>
    <w:rsid w:val="004854E6"/>
    <w:rsid w:val="004859D0"/>
    <w:rsid w:val="00485C81"/>
    <w:rsid w:val="0048734B"/>
    <w:rsid w:val="004876B7"/>
    <w:rsid w:val="0049059E"/>
    <w:rsid w:val="00490643"/>
    <w:rsid w:val="004907F0"/>
    <w:rsid w:val="00490D39"/>
    <w:rsid w:val="00491D04"/>
    <w:rsid w:val="00491ED8"/>
    <w:rsid w:val="00492774"/>
    <w:rsid w:val="004929CC"/>
    <w:rsid w:val="00492A1F"/>
    <w:rsid w:val="00492CEF"/>
    <w:rsid w:val="00493076"/>
    <w:rsid w:val="00493490"/>
    <w:rsid w:val="004938C2"/>
    <w:rsid w:val="00494011"/>
    <w:rsid w:val="00494839"/>
    <w:rsid w:val="004949CC"/>
    <w:rsid w:val="00494A97"/>
    <w:rsid w:val="00494E7E"/>
    <w:rsid w:val="00495115"/>
    <w:rsid w:val="004955BC"/>
    <w:rsid w:val="00495BF1"/>
    <w:rsid w:val="00495D68"/>
    <w:rsid w:val="00496790"/>
    <w:rsid w:val="004967D0"/>
    <w:rsid w:val="00496B19"/>
    <w:rsid w:val="004972DE"/>
    <w:rsid w:val="00497355"/>
    <w:rsid w:val="004974A7"/>
    <w:rsid w:val="004A00F1"/>
    <w:rsid w:val="004A0844"/>
    <w:rsid w:val="004A096C"/>
    <w:rsid w:val="004A0B0E"/>
    <w:rsid w:val="004A0E64"/>
    <w:rsid w:val="004A0F0E"/>
    <w:rsid w:val="004A15C6"/>
    <w:rsid w:val="004A24FB"/>
    <w:rsid w:val="004A2989"/>
    <w:rsid w:val="004A38AE"/>
    <w:rsid w:val="004A4A0F"/>
    <w:rsid w:val="004A577F"/>
    <w:rsid w:val="004A5B1F"/>
    <w:rsid w:val="004A5B6A"/>
    <w:rsid w:val="004A5CD2"/>
    <w:rsid w:val="004A63D9"/>
    <w:rsid w:val="004A6787"/>
    <w:rsid w:val="004A6A16"/>
    <w:rsid w:val="004A79A7"/>
    <w:rsid w:val="004B1531"/>
    <w:rsid w:val="004B256C"/>
    <w:rsid w:val="004B293B"/>
    <w:rsid w:val="004B30BD"/>
    <w:rsid w:val="004B3229"/>
    <w:rsid w:val="004B3699"/>
    <w:rsid w:val="004B3953"/>
    <w:rsid w:val="004B3B43"/>
    <w:rsid w:val="004B40CB"/>
    <w:rsid w:val="004B4498"/>
    <w:rsid w:val="004B5468"/>
    <w:rsid w:val="004B5C37"/>
    <w:rsid w:val="004B5DA1"/>
    <w:rsid w:val="004B5DE9"/>
    <w:rsid w:val="004B5ED1"/>
    <w:rsid w:val="004B6327"/>
    <w:rsid w:val="004B6626"/>
    <w:rsid w:val="004B6DF8"/>
    <w:rsid w:val="004B7344"/>
    <w:rsid w:val="004B7615"/>
    <w:rsid w:val="004C0046"/>
    <w:rsid w:val="004C0674"/>
    <w:rsid w:val="004C1769"/>
    <w:rsid w:val="004C17A4"/>
    <w:rsid w:val="004C1E7A"/>
    <w:rsid w:val="004C2EC5"/>
    <w:rsid w:val="004C36FD"/>
    <w:rsid w:val="004C3B06"/>
    <w:rsid w:val="004C47F0"/>
    <w:rsid w:val="004C4CE8"/>
    <w:rsid w:val="004C5167"/>
    <w:rsid w:val="004C5203"/>
    <w:rsid w:val="004C52CA"/>
    <w:rsid w:val="004C558A"/>
    <w:rsid w:val="004C5E91"/>
    <w:rsid w:val="004C5EC9"/>
    <w:rsid w:val="004C5ECA"/>
    <w:rsid w:val="004C6165"/>
    <w:rsid w:val="004C64DB"/>
    <w:rsid w:val="004C6541"/>
    <w:rsid w:val="004C65C0"/>
    <w:rsid w:val="004C6C3C"/>
    <w:rsid w:val="004C6E8F"/>
    <w:rsid w:val="004C7215"/>
    <w:rsid w:val="004C774E"/>
    <w:rsid w:val="004C7ABE"/>
    <w:rsid w:val="004D00C7"/>
    <w:rsid w:val="004D0530"/>
    <w:rsid w:val="004D07D6"/>
    <w:rsid w:val="004D1359"/>
    <w:rsid w:val="004D1751"/>
    <w:rsid w:val="004D1896"/>
    <w:rsid w:val="004D1AB2"/>
    <w:rsid w:val="004D1CE9"/>
    <w:rsid w:val="004D1FC6"/>
    <w:rsid w:val="004D2105"/>
    <w:rsid w:val="004D2463"/>
    <w:rsid w:val="004D25BD"/>
    <w:rsid w:val="004D2676"/>
    <w:rsid w:val="004D27EE"/>
    <w:rsid w:val="004D2906"/>
    <w:rsid w:val="004D2D91"/>
    <w:rsid w:val="004D3278"/>
    <w:rsid w:val="004D3502"/>
    <w:rsid w:val="004D3551"/>
    <w:rsid w:val="004D40C9"/>
    <w:rsid w:val="004D4B7F"/>
    <w:rsid w:val="004D4DFB"/>
    <w:rsid w:val="004D52F4"/>
    <w:rsid w:val="004D5545"/>
    <w:rsid w:val="004D5CDD"/>
    <w:rsid w:val="004D5E75"/>
    <w:rsid w:val="004D61F5"/>
    <w:rsid w:val="004D62F7"/>
    <w:rsid w:val="004D6364"/>
    <w:rsid w:val="004D6C8D"/>
    <w:rsid w:val="004D70BC"/>
    <w:rsid w:val="004D7704"/>
    <w:rsid w:val="004D7862"/>
    <w:rsid w:val="004D7D2F"/>
    <w:rsid w:val="004E0060"/>
    <w:rsid w:val="004E0658"/>
    <w:rsid w:val="004E07ED"/>
    <w:rsid w:val="004E0B6A"/>
    <w:rsid w:val="004E144A"/>
    <w:rsid w:val="004E1A2B"/>
    <w:rsid w:val="004E1AFA"/>
    <w:rsid w:val="004E1F69"/>
    <w:rsid w:val="004E20A0"/>
    <w:rsid w:val="004E2550"/>
    <w:rsid w:val="004E28AF"/>
    <w:rsid w:val="004E2C78"/>
    <w:rsid w:val="004E2C8D"/>
    <w:rsid w:val="004E2FC9"/>
    <w:rsid w:val="004E31D4"/>
    <w:rsid w:val="004E401C"/>
    <w:rsid w:val="004E5444"/>
    <w:rsid w:val="004E548E"/>
    <w:rsid w:val="004E60AC"/>
    <w:rsid w:val="004E6BC7"/>
    <w:rsid w:val="004E7A70"/>
    <w:rsid w:val="004E7BB7"/>
    <w:rsid w:val="004E7D1A"/>
    <w:rsid w:val="004F00D1"/>
    <w:rsid w:val="004F02CA"/>
    <w:rsid w:val="004F070C"/>
    <w:rsid w:val="004F0B52"/>
    <w:rsid w:val="004F13C9"/>
    <w:rsid w:val="004F1A8E"/>
    <w:rsid w:val="004F2379"/>
    <w:rsid w:val="004F26EF"/>
    <w:rsid w:val="004F2F08"/>
    <w:rsid w:val="004F4004"/>
    <w:rsid w:val="004F50C2"/>
    <w:rsid w:val="004F510F"/>
    <w:rsid w:val="004F5240"/>
    <w:rsid w:val="004F5640"/>
    <w:rsid w:val="004F6123"/>
    <w:rsid w:val="004F649A"/>
    <w:rsid w:val="004F7C58"/>
    <w:rsid w:val="00500908"/>
    <w:rsid w:val="00500D48"/>
    <w:rsid w:val="005012A2"/>
    <w:rsid w:val="00501853"/>
    <w:rsid w:val="00501F13"/>
    <w:rsid w:val="0050263B"/>
    <w:rsid w:val="00502759"/>
    <w:rsid w:val="005027BE"/>
    <w:rsid w:val="005027EA"/>
    <w:rsid w:val="0050285E"/>
    <w:rsid w:val="00503201"/>
    <w:rsid w:val="00503708"/>
    <w:rsid w:val="00503BE6"/>
    <w:rsid w:val="00503CF4"/>
    <w:rsid w:val="00503DCF"/>
    <w:rsid w:val="0050471B"/>
    <w:rsid w:val="00504E3C"/>
    <w:rsid w:val="005052D1"/>
    <w:rsid w:val="00505527"/>
    <w:rsid w:val="005058AC"/>
    <w:rsid w:val="00505B98"/>
    <w:rsid w:val="0050601B"/>
    <w:rsid w:val="00506263"/>
    <w:rsid w:val="005063B0"/>
    <w:rsid w:val="0050675C"/>
    <w:rsid w:val="00507663"/>
    <w:rsid w:val="00510137"/>
    <w:rsid w:val="00510433"/>
    <w:rsid w:val="00510694"/>
    <w:rsid w:val="00510C89"/>
    <w:rsid w:val="00510DC1"/>
    <w:rsid w:val="00510F2F"/>
    <w:rsid w:val="00511678"/>
    <w:rsid w:val="00512382"/>
    <w:rsid w:val="00513594"/>
    <w:rsid w:val="00513619"/>
    <w:rsid w:val="0051365A"/>
    <w:rsid w:val="00514AE7"/>
    <w:rsid w:val="00514B6B"/>
    <w:rsid w:val="00514B80"/>
    <w:rsid w:val="00515103"/>
    <w:rsid w:val="005151D2"/>
    <w:rsid w:val="005160F0"/>
    <w:rsid w:val="00516392"/>
    <w:rsid w:val="005166DD"/>
    <w:rsid w:val="00516C0A"/>
    <w:rsid w:val="00516F72"/>
    <w:rsid w:val="00520199"/>
    <w:rsid w:val="0052020A"/>
    <w:rsid w:val="005206C8"/>
    <w:rsid w:val="0052085B"/>
    <w:rsid w:val="005209EC"/>
    <w:rsid w:val="00520D21"/>
    <w:rsid w:val="00521250"/>
    <w:rsid w:val="00521294"/>
    <w:rsid w:val="005213D8"/>
    <w:rsid w:val="005215AD"/>
    <w:rsid w:val="0052170A"/>
    <w:rsid w:val="00521E53"/>
    <w:rsid w:val="005226C6"/>
    <w:rsid w:val="00522A97"/>
    <w:rsid w:val="005235DC"/>
    <w:rsid w:val="00523E30"/>
    <w:rsid w:val="0052410F"/>
    <w:rsid w:val="005245C6"/>
    <w:rsid w:val="00524800"/>
    <w:rsid w:val="00524E0D"/>
    <w:rsid w:val="00525276"/>
    <w:rsid w:val="00525FD1"/>
    <w:rsid w:val="00527AF8"/>
    <w:rsid w:val="00527C79"/>
    <w:rsid w:val="0053007E"/>
    <w:rsid w:val="00530E7C"/>
    <w:rsid w:val="00531741"/>
    <w:rsid w:val="00532F9F"/>
    <w:rsid w:val="00532FD3"/>
    <w:rsid w:val="00533A93"/>
    <w:rsid w:val="00533E4F"/>
    <w:rsid w:val="0053422B"/>
    <w:rsid w:val="005344AC"/>
    <w:rsid w:val="0053478D"/>
    <w:rsid w:val="005349B7"/>
    <w:rsid w:val="00534EBD"/>
    <w:rsid w:val="00535057"/>
    <w:rsid w:val="00535984"/>
    <w:rsid w:val="00536071"/>
    <w:rsid w:val="005360C0"/>
    <w:rsid w:val="0053614B"/>
    <w:rsid w:val="005362CA"/>
    <w:rsid w:val="0053633E"/>
    <w:rsid w:val="00536C26"/>
    <w:rsid w:val="00537008"/>
    <w:rsid w:val="0053712F"/>
    <w:rsid w:val="00537BA0"/>
    <w:rsid w:val="0054026B"/>
    <w:rsid w:val="00540301"/>
    <w:rsid w:val="0054188B"/>
    <w:rsid w:val="00541AD9"/>
    <w:rsid w:val="00541BFE"/>
    <w:rsid w:val="00543077"/>
    <w:rsid w:val="00543679"/>
    <w:rsid w:val="00546000"/>
    <w:rsid w:val="00546724"/>
    <w:rsid w:val="00546F1D"/>
    <w:rsid w:val="005470B3"/>
    <w:rsid w:val="00547339"/>
    <w:rsid w:val="00547A82"/>
    <w:rsid w:val="00547AD4"/>
    <w:rsid w:val="005500A6"/>
    <w:rsid w:val="0055027F"/>
    <w:rsid w:val="0055054E"/>
    <w:rsid w:val="005509B3"/>
    <w:rsid w:val="0055171A"/>
    <w:rsid w:val="0055179A"/>
    <w:rsid w:val="0055339F"/>
    <w:rsid w:val="005538DD"/>
    <w:rsid w:val="00553DCC"/>
    <w:rsid w:val="0055427C"/>
    <w:rsid w:val="005548A5"/>
    <w:rsid w:val="005554B9"/>
    <w:rsid w:val="0055647B"/>
    <w:rsid w:val="005566E1"/>
    <w:rsid w:val="00556DF5"/>
    <w:rsid w:val="00557B48"/>
    <w:rsid w:val="00560047"/>
    <w:rsid w:val="005600EA"/>
    <w:rsid w:val="00560416"/>
    <w:rsid w:val="00560A63"/>
    <w:rsid w:val="00561E7D"/>
    <w:rsid w:val="00562021"/>
    <w:rsid w:val="005624B5"/>
    <w:rsid w:val="00562DE2"/>
    <w:rsid w:val="00563976"/>
    <w:rsid w:val="005639BD"/>
    <w:rsid w:val="00563E99"/>
    <w:rsid w:val="00564058"/>
    <w:rsid w:val="00564BCA"/>
    <w:rsid w:val="00564F71"/>
    <w:rsid w:val="0056527F"/>
    <w:rsid w:val="00565EA6"/>
    <w:rsid w:val="00565F8A"/>
    <w:rsid w:val="005664D8"/>
    <w:rsid w:val="005665E2"/>
    <w:rsid w:val="00566754"/>
    <w:rsid w:val="00566A86"/>
    <w:rsid w:val="00566DA1"/>
    <w:rsid w:val="005675DC"/>
    <w:rsid w:val="00567927"/>
    <w:rsid w:val="005705BA"/>
    <w:rsid w:val="0057067C"/>
    <w:rsid w:val="00570872"/>
    <w:rsid w:val="00570933"/>
    <w:rsid w:val="0057093E"/>
    <w:rsid w:val="00571106"/>
    <w:rsid w:val="005714C5"/>
    <w:rsid w:val="0057158E"/>
    <w:rsid w:val="005718DF"/>
    <w:rsid w:val="00571CE3"/>
    <w:rsid w:val="00572649"/>
    <w:rsid w:val="005726C9"/>
    <w:rsid w:val="00573028"/>
    <w:rsid w:val="00573F65"/>
    <w:rsid w:val="005747AF"/>
    <w:rsid w:val="0057515B"/>
    <w:rsid w:val="00576182"/>
    <w:rsid w:val="00576A1B"/>
    <w:rsid w:val="00576F8C"/>
    <w:rsid w:val="00581371"/>
    <w:rsid w:val="005816D9"/>
    <w:rsid w:val="00581E96"/>
    <w:rsid w:val="005823A1"/>
    <w:rsid w:val="00582EE6"/>
    <w:rsid w:val="00583528"/>
    <w:rsid w:val="00584058"/>
    <w:rsid w:val="005840AB"/>
    <w:rsid w:val="00584573"/>
    <w:rsid w:val="005847B1"/>
    <w:rsid w:val="0058499A"/>
    <w:rsid w:val="005851EF"/>
    <w:rsid w:val="005855BF"/>
    <w:rsid w:val="00585A69"/>
    <w:rsid w:val="00585F10"/>
    <w:rsid w:val="00585F62"/>
    <w:rsid w:val="00586953"/>
    <w:rsid w:val="00586B59"/>
    <w:rsid w:val="00586BE7"/>
    <w:rsid w:val="00586C72"/>
    <w:rsid w:val="00586E32"/>
    <w:rsid w:val="00587546"/>
    <w:rsid w:val="00587E19"/>
    <w:rsid w:val="00590976"/>
    <w:rsid w:val="005914D2"/>
    <w:rsid w:val="0059208C"/>
    <w:rsid w:val="0059231C"/>
    <w:rsid w:val="00592695"/>
    <w:rsid w:val="005928E5"/>
    <w:rsid w:val="00592AA6"/>
    <w:rsid w:val="00592AC8"/>
    <w:rsid w:val="00592B7A"/>
    <w:rsid w:val="00592F0F"/>
    <w:rsid w:val="00592FC2"/>
    <w:rsid w:val="00593839"/>
    <w:rsid w:val="00593B5B"/>
    <w:rsid w:val="00593C40"/>
    <w:rsid w:val="005943BE"/>
    <w:rsid w:val="0059477C"/>
    <w:rsid w:val="00594901"/>
    <w:rsid w:val="00594D3F"/>
    <w:rsid w:val="00595250"/>
    <w:rsid w:val="0059571C"/>
    <w:rsid w:val="005958D7"/>
    <w:rsid w:val="00595C8E"/>
    <w:rsid w:val="0059614A"/>
    <w:rsid w:val="00596316"/>
    <w:rsid w:val="0059637D"/>
    <w:rsid w:val="00596389"/>
    <w:rsid w:val="0059652D"/>
    <w:rsid w:val="00596734"/>
    <w:rsid w:val="00596DAA"/>
    <w:rsid w:val="005970D4"/>
    <w:rsid w:val="005971C0"/>
    <w:rsid w:val="005973F1"/>
    <w:rsid w:val="00597989"/>
    <w:rsid w:val="005A0619"/>
    <w:rsid w:val="005A072A"/>
    <w:rsid w:val="005A0935"/>
    <w:rsid w:val="005A0D57"/>
    <w:rsid w:val="005A0E4E"/>
    <w:rsid w:val="005A14AB"/>
    <w:rsid w:val="005A1540"/>
    <w:rsid w:val="005A1B07"/>
    <w:rsid w:val="005A21CD"/>
    <w:rsid w:val="005A2623"/>
    <w:rsid w:val="005A2C7A"/>
    <w:rsid w:val="005A3366"/>
    <w:rsid w:val="005A373B"/>
    <w:rsid w:val="005A3E4E"/>
    <w:rsid w:val="005A4480"/>
    <w:rsid w:val="005A6381"/>
    <w:rsid w:val="005A7901"/>
    <w:rsid w:val="005A7AAD"/>
    <w:rsid w:val="005A7B5E"/>
    <w:rsid w:val="005A7B7F"/>
    <w:rsid w:val="005A7DD5"/>
    <w:rsid w:val="005A7FEE"/>
    <w:rsid w:val="005B021E"/>
    <w:rsid w:val="005B03C7"/>
    <w:rsid w:val="005B04B1"/>
    <w:rsid w:val="005B0C87"/>
    <w:rsid w:val="005B0DDD"/>
    <w:rsid w:val="005B1B67"/>
    <w:rsid w:val="005B2B8F"/>
    <w:rsid w:val="005B3156"/>
    <w:rsid w:val="005B3876"/>
    <w:rsid w:val="005B3B3E"/>
    <w:rsid w:val="005B3F16"/>
    <w:rsid w:val="005B489F"/>
    <w:rsid w:val="005B4A67"/>
    <w:rsid w:val="005B52E1"/>
    <w:rsid w:val="005B5624"/>
    <w:rsid w:val="005B5F79"/>
    <w:rsid w:val="005B5FA5"/>
    <w:rsid w:val="005B61E0"/>
    <w:rsid w:val="005B62A1"/>
    <w:rsid w:val="005B6C13"/>
    <w:rsid w:val="005B7419"/>
    <w:rsid w:val="005C08D9"/>
    <w:rsid w:val="005C0965"/>
    <w:rsid w:val="005C1295"/>
    <w:rsid w:val="005C1887"/>
    <w:rsid w:val="005C1D64"/>
    <w:rsid w:val="005C2910"/>
    <w:rsid w:val="005C320E"/>
    <w:rsid w:val="005C3B79"/>
    <w:rsid w:val="005C3CAE"/>
    <w:rsid w:val="005C4094"/>
    <w:rsid w:val="005C4A9A"/>
    <w:rsid w:val="005C4D24"/>
    <w:rsid w:val="005C5161"/>
    <w:rsid w:val="005C54EB"/>
    <w:rsid w:val="005C5E95"/>
    <w:rsid w:val="005C68EF"/>
    <w:rsid w:val="005C7199"/>
    <w:rsid w:val="005C78EF"/>
    <w:rsid w:val="005D033B"/>
    <w:rsid w:val="005D0F01"/>
    <w:rsid w:val="005D1947"/>
    <w:rsid w:val="005D1C66"/>
    <w:rsid w:val="005D1DA1"/>
    <w:rsid w:val="005D212E"/>
    <w:rsid w:val="005D213A"/>
    <w:rsid w:val="005D21D5"/>
    <w:rsid w:val="005D3282"/>
    <w:rsid w:val="005D357E"/>
    <w:rsid w:val="005D3675"/>
    <w:rsid w:val="005D3F35"/>
    <w:rsid w:val="005D42BE"/>
    <w:rsid w:val="005D4443"/>
    <w:rsid w:val="005D48E9"/>
    <w:rsid w:val="005D4AAB"/>
    <w:rsid w:val="005D59A0"/>
    <w:rsid w:val="005D65F3"/>
    <w:rsid w:val="005D69AC"/>
    <w:rsid w:val="005D6ADD"/>
    <w:rsid w:val="005D7316"/>
    <w:rsid w:val="005D7873"/>
    <w:rsid w:val="005E04B5"/>
    <w:rsid w:val="005E0EF9"/>
    <w:rsid w:val="005E11F4"/>
    <w:rsid w:val="005E25B8"/>
    <w:rsid w:val="005E2FCA"/>
    <w:rsid w:val="005E4308"/>
    <w:rsid w:val="005E5EF5"/>
    <w:rsid w:val="005E6B58"/>
    <w:rsid w:val="005E6DBD"/>
    <w:rsid w:val="005E70A5"/>
    <w:rsid w:val="005E719C"/>
    <w:rsid w:val="005E73F0"/>
    <w:rsid w:val="005E7631"/>
    <w:rsid w:val="005E7639"/>
    <w:rsid w:val="005E77AD"/>
    <w:rsid w:val="005F15B6"/>
    <w:rsid w:val="005F1950"/>
    <w:rsid w:val="005F1A4E"/>
    <w:rsid w:val="005F1B18"/>
    <w:rsid w:val="005F23D3"/>
    <w:rsid w:val="005F2426"/>
    <w:rsid w:val="005F2996"/>
    <w:rsid w:val="005F2B53"/>
    <w:rsid w:val="005F3987"/>
    <w:rsid w:val="005F3D76"/>
    <w:rsid w:val="005F4C03"/>
    <w:rsid w:val="005F4D16"/>
    <w:rsid w:val="005F4D18"/>
    <w:rsid w:val="005F7C37"/>
    <w:rsid w:val="00600732"/>
    <w:rsid w:val="0060078E"/>
    <w:rsid w:val="00600917"/>
    <w:rsid w:val="00601013"/>
    <w:rsid w:val="006011BB"/>
    <w:rsid w:val="00601360"/>
    <w:rsid w:val="00602229"/>
    <w:rsid w:val="00602710"/>
    <w:rsid w:val="00602A25"/>
    <w:rsid w:val="00602DB8"/>
    <w:rsid w:val="00603024"/>
    <w:rsid w:val="00603A9B"/>
    <w:rsid w:val="00603E62"/>
    <w:rsid w:val="00604BF1"/>
    <w:rsid w:val="00605081"/>
    <w:rsid w:val="006058A3"/>
    <w:rsid w:val="00605BDE"/>
    <w:rsid w:val="00605E33"/>
    <w:rsid w:val="00606255"/>
    <w:rsid w:val="0060643A"/>
    <w:rsid w:val="00607018"/>
    <w:rsid w:val="00607F59"/>
    <w:rsid w:val="006111CB"/>
    <w:rsid w:val="0061124C"/>
    <w:rsid w:val="00611DC0"/>
    <w:rsid w:val="0061246D"/>
    <w:rsid w:val="00612853"/>
    <w:rsid w:val="00612C21"/>
    <w:rsid w:val="0061318B"/>
    <w:rsid w:val="00613407"/>
    <w:rsid w:val="00613D18"/>
    <w:rsid w:val="0061401D"/>
    <w:rsid w:val="00614109"/>
    <w:rsid w:val="006146C1"/>
    <w:rsid w:val="00614DDF"/>
    <w:rsid w:val="00615308"/>
    <w:rsid w:val="00615732"/>
    <w:rsid w:val="00615854"/>
    <w:rsid w:val="00615A67"/>
    <w:rsid w:val="00616870"/>
    <w:rsid w:val="0061760C"/>
    <w:rsid w:val="006200B7"/>
    <w:rsid w:val="00620DBF"/>
    <w:rsid w:val="006210DC"/>
    <w:rsid w:val="00621345"/>
    <w:rsid w:val="006218E8"/>
    <w:rsid w:val="006219EA"/>
    <w:rsid w:val="00621AE0"/>
    <w:rsid w:val="00621AEB"/>
    <w:rsid w:val="00621D0F"/>
    <w:rsid w:val="0062247F"/>
    <w:rsid w:val="006230F7"/>
    <w:rsid w:val="0062320F"/>
    <w:rsid w:val="0062373F"/>
    <w:rsid w:val="006246A0"/>
    <w:rsid w:val="00624A0C"/>
    <w:rsid w:val="00624A6A"/>
    <w:rsid w:val="00625A17"/>
    <w:rsid w:val="00625B48"/>
    <w:rsid w:val="00625C2A"/>
    <w:rsid w:val="00625D8D"/>
    <w:rsid w:val="00625E3C"/>
    <w:rsid w:val="0062613F"/>
    <w:rsid w:val="00626151"/>
    <w:rsid w:val="006267B1"/>
    <w:rsid w:val="00626AB9"/>
    <w:rsid w:val="00626ADB"/>
    <w:rsid w:val="00626EF9"/>
    <w:rsid w:val="00627B70"/>
    <w:rsid w:val="00627CB2"/>
    <w:rsid w:val="00630124"/>
    <w:rsid w:val="00630292"/>
    <w:rsid w:val="00630598"/>
    <w:rsid w:val="0063060E"/>
    <w:rsid w:val="0063076F"/>
    <w:rsid w:val="00630CB1"/>
    <w:rsid w:val="0063172A"/>
    <w:rsid w:val="00631758"/>
    <w:rsid w:val="00631766"/>
    <w:rsid w:val="00631A30"/>
    <w:rsid w:val="00631D29"/>
    <w:rsid w:val="00631E74"/>
    <w:rsid w:val="00632022"/>
    <w:rsid w:val="00632978"/>
    <w:rsid w:val="006330D5"/>
    <w:rsid w:val="00633736"/>
    <w:rsid w:val="006339BF"/>
    <w:rsid w:val="006339DE"/>
    <w:rsid w:val="0063435A"/>
    <w:rsid w:val="00634FA3"/>
    <w:rsid w:val="00635CE3"/>
    <w:rsid w:val="00635D00"/>
    <w:rsid w:val="00635FD5"/>
    <w:rsid w:val="00637422"/>
    <w:rsid w:val="00637AD7"/>
    <w:rsid w:val="00640936"/>
    <w:rsid w:val="00640D82"/>
    <w:rsid w:val="00640DB9"/>
    <w:rsid w:val="00640F23"/>
    <w:rsid w:val="0064178A"/>
    <w:rsid w:val="006419AE"/>
    <w:rsid w:val="00641A0D"/>
    <w:rsid w:val="00641FB0"/>
    <w:rsid w:val="00642234"/>
    <w:rsid w:val="00642800"/>
    <w:rsid w:val="0064299B"/>
    <w:rsid w:val="00642D27"/>
    <w:rsid w:val="00642DE7"/>
    <w:rsid w:val="00642E35"/>
    <w:rsid w:val="0064328B"/>
    <w:rsid w:val="006434A1"/>
    <w:rsid w:val="00643B44"/>
    <w:rsid w:val="00644375"/>
    <w:rsid w:val="00644BAF"/>
    <w:rsid w:val="0064511F"/>
    <w:rsid w:val="00645316"/>
    <w:rsid w:val="00645A01"/>
    <w:rsid w:val="00646BD6"/>
    <w:rsid w:val="0064712D"/>
    <w:rsid w:val="0064754C"/>
    <w:rsid w:val="00647C06"/>
    <w:rsid w:val="0065009D"/>
    <w:rsid w:val="00650394"/>
    <w:rsid w:val="00650548"/>
    <w:rsid w:val="006506C2"/>
    <w:rsid w:val="00651422"/>
    <w:rsid w:val="00651568"/>
    <w:rsid w:val="00651773"/>
    <w:rsid w:val="00651F23"/>
    <w:rsid w:val="0065291E"/>
    <w:rsid w:val="00653072"/>
    <w:rsid w:val="006538FE"/>
    <w:rsid w:val="00655249"/>
    <w:rsid w:val="0065528D"/>
    <w:rsid w:val="006553E1"/>
    <w:rsid w:val="00655BA5"/>
    <w:rsid w:val="00655E50"/>
    <w:rsid w:val="006562C9"/>
    <w:rsid w:val="00656595"/>
    <w:rsid w:val="00657483"/>
    <w:rsid w:val="006576E4"/>
    <w:rsid w:val="00657BC2"/>
    <w:rsid w:val="00660630"/>
    <w:rsid w:val="00660823"/>
    <w:rsid w:val="00660FD1"/>
    <w:rsid w:val="00661EEA"/>
    <w:rsid w:val="006620FF"/>
    <w:rsid w:val="006621C8"/>
    <w:rsid w:val="006627FC"/>
    <w:rsid w:val="006634D0"/>
    <w:rsid w:val="00664232"/>
    <w:rsid w:val="006642D4"/>
    <w:rsid w:val="006659C6"/>
    <w:rsid w:val="0066614D"/>
    <w:rsid w:val="00667100"/>
    <w:rsid w:val="0066761C"/>
    <w:rsid w:val="006679D9"/>
    <w:rsid w:val="00667E89"/>
    <w:rsid w:val="0067006D"/>
    <w:rsid w:val="0067012F"/>
    <w:rsid w:val="006701D6"/>
    <w:rsid w:val="0067030C"/>
    <w:rsid w:val="00671055"/>
    <w:rsid w:val="0067143C"/>
    <w:rsid w:val="00672118"/>
    <w:rsid w:val="006722D5"/>
    <w:rsid w:val="00672511"/>
    <w:rsid w:val="0067252C"/>
    <w:rsid w:val="006725DB"/>
    <w:rsid w:val="006726D1"/>
    <w:rsid w:val="00672B56"/>
    <w:rsid w:val="00672B66"/>
    <w:rsid w:val="00673B95"/>
    <w:rsid w:val="006742A7"/>
    <w:rsid w:val="00674941"/>
    <w:rsid w:val="00674B68"/>
    <w:rsid w:val="006754F0"/>
    <w:rsid w:val="00675CAA"/>
    <w:rsid w:val="0067650E"/>
    <w:rsid w:val="006765A3"/>
    <w:rsid w:val="00677B09"/>
    <w:rsid w:val="00677B21"/>
    <w:rsid w:val="00677BAC"/>
    <w:rsid w:val="0068090A"/>
    <w:rsid w:val="00680AA4"/>
    <w:rsid w:val="00680C3B"/>
    <w:rsid w:val="00680E62"/>
    <w:rsid w:val="006819C5"/>
    <w:rsid w:val="006829E7"/>
    <w:rsid w:val="00682AE0"/>
    <w:rsid w:val="00683A66"/>
    <w:rsid w:val="006856C6"/>
    <w:rsid w:val="00685BFA"/>
    <w:rsid w:val="00685C95"/>
    <w:rsid w:val="00685E31"/>
    <w:rsid w:val="00686540"/>
    <w:rsid w:val="00686C90"/>
    <w:rsid w:val="00686EE9"/>
    <w:rsid w:val="0068782C"/>
    <w:rsid w:val="00690246"/>
    <w:rsid w:val="00690775"/>
    <w:rsid w:val="00690CE4"/>
    <w:rsid w:val="00690ECF"/>
    <w:rsid w:val="006911A9"/>
    <w:rsid w:val="0069137D"/>
    <w:rsid w:val="0069152A"/>
    <w:rsid w:val="00691E57"/>
    <w:rsid w:val="00692018"/>
    <w:rsid w:val="00692417"/>
    <w:rsid w:val="00692E50"/>
    <w:rsid w:val="006931FA"/>
    <w:rsid w:val="0069362A"/>
    <w:rsid w:val="00693B42"/>
    <w:rsid w:val="00693CA3"/>
    <w:rsid w:val="006965D5"/>
    <w:rsid w:val="00696DCA"/>
    <w:rsid w:val="00697060"/>
    <w:rsid w:val="0069773B"/>
    <w:rsid w:val="00697B9B"/>
    <w:rsid w:val="006A0164"/>
    <w:rsid w:val="006A0878"/>
    <w:rsid w:val="006A0A90"/>
    <w:rsid w:val="006A0CCE"/>
    <w:rsid w:val="006A0F06"/>
    <w:rsid w:val="006A10F0"/>
    <w:rsid w:val="006A184D"/>
    <w:rsid w:val="006A1FA2"/>
    <w:rsid w:val="006A224F"/>
    <w:rsid w:val="006A25A8"/>
    <w:rsid w:val="006A279E"/>
    <w:rsid w:val="006A28C7"/>
    <w:rsid w:val="006A3117"/>
    <w:rsid w:val="006A3656"/>
    <w:rsid w:val="006A3B73"/>
    <w:rsid w:val="006A3C91"/>
    <w:rsid w:val="006A3D64"/>
    <w:rsid w:val="006A4BA1"/>
    <w:rsid w:val="006A4CCB"/>
    <w:rsid w:val="006A564E"/>
    <w:rsid w:val="006A57DA"/>
    <w:rsid w:val="006A5A73"/>
    <w:rsid w:val="006A5C37"/>
    <w:rsid w:val="006A607F"/>
    <w:rsid w:val="006A6774"/>
    <w:rsid w:val="006A677E"/>
    <w:rsid w:val="006A6D76"/>
    <w:rsid w:val="006A740F"/>
    <w:rsid w:val="006B15E4"/>
    <w:rsid w:val="006B173B"/>
    <w:rsid w:val="006B17DB"/>
    <w:rsid w:val="006B17E8"/>
    <w:rsid w:val="006B17FB"/>
    <w:rsid w:val="006B19C3"/>
    <w:rsid w:val="006B1A29"/>
    <w:rsid w:val="006B2082"/>
    <w:rsid w:val="006B2212"/>
    <w:rsid w:val="006B237E"/>
    <w:rsid w:val="006B29CB"/>
    <w:rsid w:val="006B3671"/>
    <w:rsid w:val="006B44BE"/>
    <w:rsid w:val="006B4954"/>
    <w:rsid w:val="006B4A5A"/>
    <w:rsid w:val="006B4CE1"/>
    <w:rsid w:val="006B4D65"/>
    <w:rsid w:val="006B4E3A"/>
    <w:rsid w:val="006B535E"/>
    <w:rsid w:val="006B5A4E"/>
    <w:rsid w:val="006B5DF4"/>
    <w:rsid w:val="006B61CA"/>
    <w:rsid w:val="006B64AA"/>
    <w:rsid w:val="006B69CF"/>
    <w:rsid w:val="006B6AAB"/>
    <w:rsid w:val="006B6C79"/>
    <w:rsid w:val="006B6F1C"/>
    <w:rsid w:val="006B720F"/>
    <w:rsid w:val="006B7294"/>
    <w:rsid w:val="006B79E0"/>
    <w:rsid w:val="006B7ABB"/>
    <w:rsid w:val="006B7D31"/>
    <w:rsid w:val="006C02E1"/>
    <w:rsid w:val="006C0473"/>
    <w:rsid w:val="006C05E3"/>
    <w:rsid w:val="006C1734"/>
    <w:rsid w:val="006C206F"/>
    <w:rsid w:val="006C28B2"/>
    <w:rsid w:val="006C2918"/>
    <w:rsid w:val="006C2DC1"/>
    <w:rsid w:val="006C30CF"/>
    <w:rsid w:val="006C3104"/>
    <w:rsid w:val="006C40F9"/>
    <w:rsid w:val="006C4346"/>
    <w:rsid w:val="006C475A"/>
    <w:rsid w:val="006C4AAF"/>
    <w:rsid w:val="006C4BB9"/>
    <w:rsid w:val="006C4FB7"/>
    <w:rsid w:val="006C56FA"/>
    <w:rsid w:val="006C5959"/>
    <w:rsid w:val="006C5AF0"/>
    <w:rsid w:val="006C5C0A"/>
    <w:rsid w:val="006C6FAB"/>
    <w:rsid w:val="006C7AFB"/>
    <w:rsid w:val="006C7B06"/>
    <w:rsid w:val="006D01BF"/>
    <w:rsid w:val="006D0344"/>
    <w:rsid w:val="006D0415"/>
    <w:rsid w:val="006D17B2"/>
    <w:rsid w:val="006D187E"/>
    <w:rsid w:val="006D1B4D"/>
    <w:rsid w:val="006D2169"/>
    <w:rsid w:val="006D2190"/>
    <w:rsid w:val="006D2855"/>
    <w:rsid w:val="006D2AA9"/>
    <w:rsid w:val="006D2CF9"/>
    <w:rsid w:val="006D3061"/>
    <w:rsid w:val="006D341F"/>
    <w:rsid w:val="006D3D57"/>
    <w:rsid w:val="006D3E73"/>
    <w:rsid w:val="006D487B"/>
    <w:rsid w:val="006D48DC"/>
    <w:rsid w:val="006D4AC8"/>
    <w:rsid w:val="006D4D37"/>
    <w:rsid w:val="006D4E4D"/>
    <w:rsid w:val="006D50DA"/>
    <w:rsid w:val="006D5A83"/>
    <w:rsid w:val="006D5AFD"/>
    <w:rsid w:val="006D6599"/>
    <w:rsid w:val="006D6879"/>
    <w:rsid w:val="006D6BD5"/>
    <w:rsid w:val="006D7557"/>
    <w:rsid w:val="006D7A15"/>
    <w:rsid w:val="006D7D51"/>
    <w:rsid w:val="006E0268"/>
    <w:rsid w:val="006E0500"/>
    <w:rsid w:val="006E0A1F"/>
    <w:rsid w:val="006E0E70"/>
    <w:rsid w:val="006E0EA8"/>
    <w:rsid w:val="006E122C"/>
    <w:rsid w:val="006E12ED"/>
    <w:rsid w:val="006E178E"/>
    <w:rsid w:val="006E1C11"/>
    <w:rsid w:val="006E2928"/>
    <w:rsid w:val="006E3483"/>
    <w:rsid w:val="006E4555"/>
    <w:rsid w:val="006E4865"/>
    <w:rsid w:val="006E4F25"/>
    <w:rsid w:val="006E4F2A"/>
    <w:rsid w:val="006E5426"/>
    <w:rsid w:val="006E6A2E"/>
    <w:rsid w:val="006E6C39"/>
    <w:rsid w:val="006E7022"/>
    <w:rsid w:val="006E70EC"/>
    <w:rsid w:val="006E7153"/>
    <w:rsid w:val="006E7A36"/>
    <w:rsid w:val="006E7A89"/>
    <w:rsid w:val="006E7AC8"/>
    <w:rsid w:val="006E7E10"/>
    <w:rsid w:val="006F0C1C"/>
    <w:rsid w:val="006F0C4B"/>
    <w:rsid w:val="006F1080"/>
    <w:rsid w:val="006F1E24"/>
    <w:rsid w:val="006F2132"/>
    <w:rsid w:val="006F2235"/>
    <w:rsid w:val="006F2616"/>
    <w:rsid w:val="006F261B"/>
    <w:rsid w:val="006F27DE"/>
    <w:rsid w:val="006F2DEB"/>
    <w:rsid w:val="006F3DEE"/>
    <w:rsid w:val="006F4F88"/>
    <w:rsid w:val="006F5324"/>
    <w:rsid w:val="006F584D"/>
    <w:rsid w:val="006F6270"/>
    <w:rsid w:val="006F6C1A"/>
    <w:rsid w:val="006F779A"/>
    <w:rsid w:val="00700BCB"/>
    <w:rsid w:val="0070109F"/>
    <w:rsid w:val="00701409"/>
    <w:rsid w:val="00701949"/>
    <w:rsid w:val="00701A54"/>
    <w:rsid w:val="00701D1A"/>
    <w:rsid w:val="00702F92"/>
    <w:rsid w:val="00703B11"/>
    <w:rsid w:val="00703F79"/>
    <w:rsid w:val="00704600"/>
    <w:rsid w:val="00704A08"/>
    <w:rsid w:val="00704B45"/>
    <w:rsid w:val="00705143"/>
    <w:rsid w:val="0070546E"/>
    <w:rsid w:val="00705759"/>
    <w:rsid w:val="007062B1"/>
    <w:rsid w:val="007062BD"/>
    <w:rsid w:val="007063D2"/>
    <w:rsid w:val="0070648F"/>
    <w:rsid w:val="0070680A"/>
    <w:rsid w:val="00706CBA"/>
    <w:rsid w:val="00706DA2"/>
    <w:rsid w:val="0070713F"/>
    <w:rsid w:val="007075DB"/>
    <w:rsid w:val="00707935"/>
    <w:rsid w:val="007079CF"/>
    <w:rsid w:val="00707A83"/>
    <w:rsid w:val="00707C9F"/>
    <w:rsid w:val="00710EBD"/>
    <w:rsid w:val="0071117C"/>
    <w:rsid w:val="00711941"/>
    <w:rsid w:val="00711DB8"/>
    <w:rsid w:val="00711E8D"/>
    <w:rsid w:val="00711F85"/>
    <w:rsid w:val="00712021"/>
    <w:rsid w:val="0071227C"/>
    <w:rsid w:val="0071292C"/>
    <w:rsid w:val="00712B13"/>
    <w:rsid w:val="00712B26"/>
    <w:rsid w:val="00712B39"/>
    <w:rsid w:val="00712E60"/>
    <w:rsid w:val="00713679"/>
    <w:rsid w:val="00713CEE"/>
    <w:rsid w:val="00714E68"/>
    <w:rsid w:val="00714E8D"/>
    <w:rsid w:val="00715448"/>
    <w:rsid w:val="0071546C"/>
    <w:rsid w:val="00715B2F"/>
    <w:rsid w:val="00717213"/>
    <w:rsid w:val="00717B5F"/>
    <w:rsid w:val="00720E5B"/>
    <w:rsid w:val="00721EB4"/>
    <w:rsid w:val="00724001"/>
    <w:rsid w:val="007240D7"/>
    <w:rsid w:val="00725A90"/>
    <w:rsid w:val="00726464"/>
    <w:rsid w:val="007265F7"/>
    <w:rsid w:val="00727353"/>
    <w:rsid w:val="00727729"/>
    <w:rsid w:val="00727749"/>
    <w:rsid w:val="00727931"/>
    <w:rsid w:val="007300A0"/>
    <w:rsid w:val="007305A6"/>
    <w:rsid w:val="00730FE3"/>
    <w:rsid w:val="00731592"/>
    <w:rsid w:val="007315C6"/>
    <w:rsid w:val="007317B2"/>
    <w:rsid w:val="00731EF4"/>
    <w:rsid w:val="00731F44"/>
    <w:rsid w:val="007329CC"/>
    <w:rsid w:val="00732ED1"/>
    <w:rsid w:val="007331CE"/>
    <w:rsid w:val="00733558"/>
    <w:rsid w:val="00733CB3"/>
    <w:rsid w:val="00733E3B"/>
    <w:rsid w:val="00734697"/>
    <w:rsid w:val="00735984"/>
    <w:rsid w:val="00735A31"/>
    <w:rsid w:val="0073662F"/>
    <w:rsid w:val="0073667B"/>
    <w:rsid w:val="00736AA1"/>
    <w:rsid w:val="00737959"/>
    <w:rsid w:val="0074045A"/>
    <w:rsid w:val="007404F7"/>
    <w:rsid w:val="00740527"/>
    <w:rsid w:val="00740547"/>
    <w:rsid w:val="00740B3C"/>
    <w:rsid w:val="00740CF9"/>
    <w:rsid w:val="00740F0A"/>
    <w:rsid w:val="00741456"/>
    <w:rsid w:val="00741FE7"/>
    <w:rsid w:val="00744691"/>
    <w:rsid w:val="007448A5"/>
    <w:rsid w:val="00744B61"/>
    <w:rsid w:val="00744F5A"/>
    <w:rsid w:val="00745203"/>
    <w:rsid w:val="0074548E"/>
    <w:rsid w:val="00745A54"/>
    <w:rsid w:val="00745C16"/>
    <w:rsid w:val="00745DF9"/>
    <w:rsid w:val="007461A0"/>
    <w:rsid w:val="00746624"/>
    <w:rsid w:val="00746AF1"/>
    <w:rsid w:val="0074717C"/>
    <w:rsid w:val="00747248"/>
    <w:rsid w:val="0074767D"/>
    <w:rsid w:val="007501D6"/>
    <w:rsid w:val="007513ED"/>
    <w:rsid w:val="007514AD"/>
    <w:rsid w:val="00751668"/>
    <w:rsid w:val="007519E0"/>
    <w:rsid w:val="00751AB2"/>
    <w:rsid w:val="00752426"/>
    <w:rsid w:val="007528D4"/>
    <w:rsid w:val="007529EA"/>
    <w:rsid w:val="00752A08"/>
    <w:rsid w:val="00752B01"/>
    <w:rsid w:val="00752E65"/>
    <w:rsid w:val="00753418"/>
    <w:rsid w:val="00753933"/>
    <w:rsid w:val="00753BA1"/>
    <w:rsid w:val="00753FDB"/>
    <w:rsid w:val="0075504D"/>
    <w:rsid w:val="0075635D"/>
    <w:rsid w:val="0075650D"/>
    <w:rsid w:val="00757707"/>
    <w:rsid w:val="007578DA"/>
    <w:rsid w:val="007578EB"/>
    <w:rsid w:val="0076026F"/>
    <w:rsid w:val="00760966"/>
    <w:rsid w:val="00760E63"/>
    <w:rsid w:val="0076138D"/>
    <w:rsid w:val="0076171F"/>
    <w:rsid w:val="0076180C"/>
    <w:rsid w:val="00761C39"/>
    <w:rsid w:val="0076203A"/>
    <w:rsid w:val="00762404"/>
    <w:rsid w:val="0076252C"/>
    <w:rsid w:val="007627C1"/>
    <w:rsid w:val="007630DC"/>
    <w:rsid w:val="0076360C"/>
    <w:rsid w:val="00763D7C"/>
    <w:rsid w:val="00763F00"/>
    <w:rsid w:val="007641A7"/>
    <w:rsid w:val="00765566"/>
    <w:rsid w:val="007659D2"/>
    <w:rsid w:val="007661F9"/>
    <w:rsid w:val="00766619"/>
    <w:rsid w:val="0076759A"/>
    <w:rsid w:val="007700EE"/>
    <w:rsid w:val="00770C9F"/>
    <w:rsid w:val="00770FE3"/>
    <w:rsid w:val="007714E3"/>
    <w:rsid w:val="00772394"/>
    <w:rsid w:val="0077250E"/>
    <w:rsid w:val="007725B8"/>
    <w:rsid w:val="00773C4E"/>
    <w:rsid w:val="00773FF0"/>
    <w:rsid w:val="00774BFA"/>
    <w:rsid w:val="00774CC4"/>
    <w:rsid w:val="00775B97"/>
    <w:rsid w:val="00775F61"/>
    <w:rsid w:val="00776067"/>
    <w:rsid w:val="00776298"/>
    <w:rsid w:val="007763CA"/>
    <w:rsid w:val="00776401"/>
    <w:rsid w:val="00776806"/>
    <w:rsid w:val="00776FA0"/>
    <w:rsid w:val="007771CC"/>
    <w:rsid w:val="0077756E"/>
    <w:rsid w:val="007777FC"/>
    <w:rsid w:val="007779B3"/>
    <w:rsid w:val="007779D7"/>
    <w:rsid w:val="00777CAC"/>
    <w:rsid w:val="00777DEE"/>
    <w:rsid w:val="00780244"/>
    <w:rsid w:val="007802C2"/>
    <w:rsid w:val="00780909"/>
    <w:rsid w:val="007819AC"/>
    <w:rsid w:val="00781CAB"/>
    <w:rsid w:val="00782213"/>
    <w:rsid w:val="00782F27"/>
    <w:rsid w:val="0078390E"/>
    <w:rsid w:val="00783B03"/>
    <w:rsid w:val="007841E7"/>
    <w:rsid w:val="00784A45"/>
    <w:rsid w:val="00784B16"/>
    <w:rsid w:val="00785072"/>
    <w:rsid w:val="007855AE"/>
    <w:rsid w:val="0078636D"/>
    <w:rsid w:val="007869B0"/>
    <w:rsid w:val="00786C3A"/>
    <w:rsid w:val="00787370"/>
    <w:rsid w:val="0078738B"/>
    <w:rsid w:val="00787DA5"/>
    <w:rsid w:val="00790612"/>
    <w:rsid w:val="00790CF0"/>
    <w:rsid w:val="00791577"/>
    <w:rsid w:val="00791ACA"/>
    <w:rsid w:val="007930DF"/>
    <w:rsid w:val="007932BA"/>
    <w:rsid w:val="007944C4"/>
    <w:rsid w:val="007945D3"/>
    <w:rsid w:val="00794B77"/>
    <w:rsid w:val="007968D0"/>
    <w:rsid w:val="00796B74"/>
    <w:rsid w:val="00796BB9"/>
    <w:rsid w:val="007A0060"/>
    <w:rsid w:val="007A1027"/>
    <w:rsid w:val="007A1473"/>
    <w:rsid w:val="007A1D05"/>
    <w:rsid w:val="007A1F70"/>
    <w:rsid w:val="007A2235"/>
    <w:rsid w:val="007A3E13"/>
    <w:rsid w:val="007A44D1"/>
    <w:rsid w:val="007A463D"/>
    <w:rsid w:val="007A4844"/>
    <w:rsid w:val="007A4893"/>
    <w:rsid w:val="007A4947"/>
    <w:rsid w:val="007A5B03"/>
    <w:rsid w:val="007A5CB4"/>
    <w:rsid w:val="007A5E9B"/>
    <w:rsid w:val="007A6584"/>
    <w:rsid w:val="007A65C0"/>
    <w:rsid w:val="007A6719"/>
    <w:rsid w:val="007A6724"/>
    <w:rsid w:val="007A67A1"/>
    <w:rsid w:val="007A6BB2"/>
    <w:rsid w:val="007A7612"/>
    <w:rsid w:val="007A7A90"/>
    <w:rsid w:val="007B1116"/>
    <w:rsid w:val="007B122E"/>
    <w:rsid w:val="007B12D5"/>
    <w:rsid w:val="007B184D"/>
    <w:rsid w:val="007B25D9"/>
    <w:rsid w:val="007B279F"/>
    <w:rsid w:val="007B2A06"/>
    <w:rsid w:val="007B2ADB"/>
    <w:rsid w:val="007B2DF0"/>
    <w:rsid w:val="007B2F87"/>
    <w:rsid w:val="007B32D5"/>
    <w:rsid w:val="007B332C"/>
    <w:rsid w:val="007B3CAA"/>
    <w:rsid w:val="007B3EC5"/>
    <w:rsid w:val="007B468E"/>
    <w:rsid w:val="007B46EE"/>
    <w:rsid w:val="007B4CDF"/>
    <w:rsid w:val="007B5997"/>
    <w:rsid w:val="007B61A7"/>
    <w:rsid w:val="007B61B1"/>
    <w:rsid w:val="007B62CE"/>
    <w:rsid w:val="007B6A9E"/>
    <w:rsid w:val="007B6CA9"/>
    <w:rsid w:val="007B71FC"/>
    <w:rsid w:val="007B7280"/>
    <w:rsid w:val="007B7367"/>
    <w:rsid w:val="007B78A7"/>
    <w:rsid w:val="007C00BC"/>
    <w:rsid w:val="007C056A"/>
    <w:rsid w:val="007C0982"/>
    <w:rsid w:val="007C12B1"/>
    <w:rsid w:val="007C139C"/>
    <w:rsid w:val="007C18A8"/>
    <w:rsid w:val="007C1F4F"/>
    <w:rsid w:val="007C2E14"/>
    <w:rsid w:val="007C31BD"/>
    <w:rsid w:val="007C372E"/>
    <w:rsid w:val="007C3EFA"/>
    <w:rsid w:val="007C3FCB"/>
    <w:rsid w:val="007C4982"/>
    <w:rsid w:val="007C50C6"/>
    <w:rsid w:val="007C5530"/>
    <w:rsid w:val="007C559F"/>
    <w:rsid w:val="007C5E0A"/>
    <w:rsid w:val="007C760B"/>
    <w:rsid w:val="007D064F"/>
    <w:rsid w:val="007D12E3"/>
    <w:rsid w:val="007D1A3D"/>
    <w:rsid w:val="007D20F6"/>
    <w:rsid w:val="007D21C8"/>
    <w:rsid w:val="007D2533"/>
    <w:rsid w:val="007D2E79"/>
    <w:rsid w:val="007D309C"/>
    <w:rsid w:val="007D3778"/>
    <w:rsid w:val="007D4DAF"/>
    <w:rsid w:val="007D548C"/>
    <w:rsid w:val="007D54DA"/>
    <w:rsid w:val="007D5970"/>
    <w:rsid w:val="007D5F85"/>
    <w:rsid w:val="007D6E87"/>
    <w:rsid w:val="007D6EFC"/>
    <w:rsid w:val="007D70F6"/>
    <w:rsid w:val="007D7ADA"/>
    <w:rsid w:val="007E0856"/>
    <w:rsid w:val="007E0871"/>
    <w:rsid w:val="007E1316"/>
    <w:rsid w:val="007E13B3"/>
    <w:rsid w:val="007E176E"/>
    <w:rsid w:val="007E2700"/>
    <w:rsid w:val="007E2DF2"/>
    <w:rsid w:val="007E2FF9"/>
    <w:rsid w:val="007E3FD1"/>
    <w:rsid w:val="007E4681"/>
    <w:rsid w:val="007E4702"/>
    <w:rsid w:val="007E4CB5"/>
    <w:rsid w:val="007E571A"/>
    <w:rsid w:val="007E5B90"/>
    <w:rsid w:val="007E7B4D"/>
    <w:rsid w:val="007E7DDD"/>
    <w:rsid w:val="007E7DE2"/>
    <w:rsid w:val="007E7ECE"/>
    <w:rsid w:val="007F060A"/>
    <w:rsid w:val="007F22B5"/>
    <w:rsid w:val="007F2CAC"/>
    <w:rsid w:val="007F49BE"/>
    <w:rsid w:val="007F4B2D"/>
    <w:rsid w:val="007F5158"/>
    <w:rsid w:val="007F58B0"/>
    <w:rsid w:val="007F5AE6"/>
    <w:rsid w:val="007F6712"/>
    <w:rsid w:val="007F6CE2"/>
    <w:rsid w:val="007F6EBC"/>
    <w:rsid w:val="007F71F4"/>
    <w:rsid w:val="007F72EE"/>
    <w:rsid w:val="007F7776"/>
    <w:rsid w:val="007F787A"/>
    <w:rsid w:val="00800063"/>
    <w:rsid w:val="00800966"/>
    <w:rsid w:val="0080135A"/>
    <w:rsid w:val="0080198C"/>
    <w:rsid w:val="00801EDF"/>
    <w:rsid w:val="00803282"/>
    <w:rsid w:val="0080342E"/>
    <w:rsid w:val="008034EC"/>
    <w:rsid w:val="008041A5"/>
    <w:rsid w:val="008041C5"/>
    <w:rsid w:val="00804318"/>
    <w:rsid w:val="008056FE"/>
    <w:rsid w:val="008060F8"/>
    <w:rsid w:val="0080698D"/>
    <w:rsid w:val="00806CB7"/>
    <w:rsid w:val="00806E3F"/>
    <w:rsid w:val="008077B1"/>
    <w:rsid w:val="00807882"/>
    <w:rsid w:val="00807B4B"/>
    <w:rsid w:val="00807C4E"/>
    <w:rsid w:val="0081047B"/>
    <w:rsid w:val="008107F1"/>
    <w:rsid w:val="008113DC"/>
    <w:rsid w:val="0081145C"/>
    <w:rsid w:val="00811A29"/>
    <w:rsid w:val="00812144"/>
    <w:rsid w:val="00812CB8"/>
    <w:rsid w:val="00812DA7"/>
    <w:rsid w:val="008137C5"/>
    <w:rsid w:val="00813A75"/>
    <w:rsid w:val="008142DA"/>
    <w:rsid w:val="00814E18"/>
    <w:rsid w:val="00815310"/>
    <w:rsid w:val="00815BC2"/>
    <w:rsid w:val="00815C17"/>
    <w:rsid w:val="00815DB2"/>
    <w:rsid w:val="00815FB7"/>
    <w:rsid w:val="00816837"/>
    <w:rsid w:val="00816FA1"/>
    <w:rsid w:val="00817BAD"/>
    <w:rsid w:val="0082043C"/>
    <w:rsid w:val="00820B37"/>
    <w:rsid w:val="00820C73"/>
    <w:rsid w:val="00820EE4"/>
    <w:rsid w:val="0082102E"/>
    <w:rsid w:val="00821092"/>
    <w:rsid w:val="008214E8"/>
    <w:rsid w:val="008216F2"/>
    <w:rsid w:val="00821839"/>
    <w:rsid w:val="00822160"/>
    <w:rsid w:val="008221FD"/>
    <w:rsid w:val="00822393"/>
    <w:rsid w:val="008229C9"/>
    <w:rsid w:val="00822DBD"/>
    <w:rsid w:val="00822E3D"/>
    <w:rsid w:val="00823409"/>
    <w:rsid w:val="008239FC"/>
    <w:rsid w:val="00823B14"/>
    <w:rsid w:val="008243B4"/>
    <w:rsid w:val="0082444F"/>
    <w:rsid w:val="00824807"/>
    <w:rsid w:val="00824B13"/>
    <w:rsid w:val="008252F3"/>
    <w:rsid w:val="00825595"/>
    <w:rsid w:val="00826591"/>
    <w:rsid w:val="008265E8"/>
    <w:rsid w:val="008270F4"/>
    <w:rsid w:val="008274F8"/>
    <w:rsid w:val="00827929"/>
    <w:rsid w:val="00827A22"/>
    <w:rsid w:val="008300A9"/>
    <w:rsid w:val="00830529"/>
    <w:rsid w:val="00830590"/>
    <w:rsid w:val="00830F3A"/>
    <w:rsid w:val="00830F55"/>
    <w:rsid w:val="008312E0"/>
    <w:rsid w:val="00831515"/>
    <w:rsid w:val="008318BD"/>
    <w:rsid w:val="00831A43"/>
    <w:rsid w:val="00831AA6"/>
    <w:rsid w:val="00832383"/>
    <w:rsid w:val="00832987"/>
    <w:rsid w:val="00832DEF"/>
    <w:rsid w:val="00833060"/>
    <w:rsid w:val="00833144"/>
    <w:rsid w:val="0083371A"/>
    <w:rsid w:val="00833E03"/>
    <w:rsid w:val="008345DB"/>
    <w:rsid w:val="00834B71"/>
    <w:rsid w:val="00834F9F"/>
    <w:rsid w:val="00834FD2"/>
    <w:rsid w:val="008351F9"/>
    <w:rsid w:val="008352BE"/>
    <w:rsid w:val="00835346"/>
    <w:rsid w:val="00835AA9"/>
    <w:rsid w:val="00835F2F"/>
    <w:rsid w:val="00836161"/>
    <w:rsid w:val="0083619F"/>
    <w:rsid w:val="0083624F"/>
    <w:rsid w:val="00836352"/>
    <w:rsid w:val="00836482"/>
    <w:rsid w:val="008378DA"/>
    <w:rsid w:val="008379CC"/>
    <w:rsid w:val="00840447"/>
    <w:rsid w:val="0084134A"/>
    <w:rsid w:val="00841650"/>
    <w:rsid w:val="008416BA"/>
    <w:rsid w:val="00841A78"/>
    <w:rsid w:val="0084275D"/>
    <w:rsid w:val="008428B5"/>
    <w:rsid w:val="00842972"/>
    <w:rsid w:val="00842FF2"/>
    <w:rsid w:val="008433FE"/>
    <w:rsid w:val="0084384C"/>
    <w:rsid w:val="00843C6C"/>
    <w:rsid w:val="00843D6C"/>
    <w:rsid w:val="00843EE1"/>
    <w:rsid w:val="008442B1"/>
    <w:rsid w:val="00844A1B"/>
    <w:rsid w:val="00844C14"/>
    <w:rsid w:val="00845ACD"/>
    <w:rsid w:val="00846023"/>
    <w:rsid w:val="008460EB"/>
    <w:rsid w:val="0084614F"/>
    <w:rsid w:val="00846307"/>
    <w:rsid w:val="00847377"/>
    <w:rsid w:val="00847846"/>
    <w:rsid w:val="00847C42"/>
    <w:rsid w:val="00847DA9"/>
    <w:rsid w:val="00850E32"/>
    <w:rsid w:val="00850EDA"/>
    <w:rsid w:val="008512EF"/>
    <w:rsid w:val="008513DE"/>
    <w:rsid w:val="00851964"/>
    <w:rsid w:val="00851E08"/>
    <w:rsid w:val="0085280B"/>
    <w:rsid w:val="00853588"/>
    <w:rsid w:val="00853927"/>
    <w:rsid w:val="008555AA"/>
    <w:rsid w:val="00855899"/>
    <w:rsid w:val="00855ADA"/>
    <w:rsid w:val="00856819"/>
    <w:rsid w:val="00856F37"/>
    <w:rsid w:val="00856F53"/>
    <w:rsid w:val="00857970"/>
    <w:rsid w:val="00857E3A"/>
    <w:rsid w:val="0086038D"/>
    <w:rsid w:val="00860639"/>
    <w:rsid w:val="00861974"/>
    <w:rsid w:val="00861AF3"/>
    <w:rsid w:val="00862BDE"/>
    <w:rsid w:val="00863108"/>
    <w:rsid w:val="008631CF"/>
    <w:rsid w:val="008631DB"/>
    <w:rsid w:val="008631EF"/>
    <w:rsid w:val="00863290"/>
    <w:rsid w:val="008640F8"/>
    <w:rsid w:val="008642F7"/>
    <w:rsid w:val="00865D23"/>
    <w:rsid w:val="008665D8"/>
    <w:rsid w:val="008679AE"/>
    <w:rsid w:val="00867AA4"/>
    <w:rsid w:val="0087062C"/>
    <w:rsid w:val="0087069F"/>
    <w:rsid w:val="00871240"/>
    <w:rsid w:val="00871332"/>
    <w:rsid w:val="008715CA"/>
    <w:rsid w:val="00871A9A"/>
    <w:rsid w:val="00871C0D"/>
    <w:rsid w:val="0087220D"/>
    <w:rsid w:val="00873477"/>
    <w:rsid w:val="008735F2"/>
    <w:rsid w:val="0087483A"/>
    <w:rsid w:val="00874CB6"/>
    <w:rsid w:val="008752AF"/>
    <w:rsid w:val="008768FC"/>
    <w:rsid w:val="00876C0E"/>
    <w:rsid w:val="00876FF3"/>
    <w:rsid w:val="0087737B"/>
    <w:rsid w:val="008803DB"/>
    <w:rsid w:val="008803E0"/>
    <w:rsid w:val="008809C6"/>
    <w:rsid w:val="00881121"/>
    <w:rsid w:val="008820D4"/>
    <w:rsid w:val="0088302B"/>
    <w:rsid w:val="008833EA"/>
    <w:rsid w:val="0088385C"/>
    <w:rsid w:val="00883E93"/>
    <w:rsid w:val="00884324"/>
    <w:rsid w:val="00885704"/>
    <w:rsid w:val="00885D2A"/>
    <w:rsid w:val="00886ACC"/>
    <w:rsid w:val="00886DEE"/>
    <w:rsid w:val="00887DFF"/>
    <w:rsid w:val="00887E9A"/>
    <w:rsid w:val="0089011E"/>
    <w:rsid w:val="00890127"/>
    <w:rsid w:val="00890438"/>
    <w:rsid w:val="008905B9"/>
    <w:rsid w:val="00890AA8"/>
    <w:rsid w:val="00890C54"/>
    <w:rsid w:val="00891321"/>
    <w:rsid w:val="0089162F"/>
    <w:rsid w:val="00891B66"/>
    <w:rsid w:val="00891C86"/>
    <w:rsid w:val="0089202E"/>
    <w:rsid w:val="0089255C"/>
    <w:rsid w:val="00892681"/>
    <w:rsid w:val="00892771"/>
    <w:rsid w:val="00892BE7"/>
    <w:rsid w:val="00892CDE"/>
    <w:rsid w:val="00893141"/>
    <w:rsid w:val="0089337E"/>
    <w:rsid w:val="0089373E"/>
    <w:rsid w:val="008937D8"/>
    <w:rsid w:val="00894285"/>
    <w:rsid w:val="0089456D"/>
    <w:rsid w:val="00894613"/>
    <w:rsid w:val="00894A61"/>
    <w:rsid w:val="008954D1"/>
    <w:rsid w:val="00896386"/>
    <w:rsid w:val="00896A94"/>
    <w:rsid w:val="00896F49"/>
    <w:rsid w:val="0089704A"/>
    <w:rsid w:val="00897263"/>
    <w:rsid w:val="00897315"/>
    <w:rsid w:val="008973DF"/>
    <w:rsid w:val="008979A7"/>
    <w:rsid w:val="00897FE2"/>
    <w:rsid w:val="008A0C13"/>
    <w:rsid w:val="008A12A6"/>
    <w:rsid w:val="008A1CCE"/>
    <w:rsid w:val="008A362B"/>
    <w:rsid w:val="008A377D"/>
    <w:rsid w:val="008A38F7"/>
    <w:rsid w:val="008A445F"/>
    <w:rsid w:val="008A46D9"/>
    <w:rsid w:val="008A62DD"/>
    <w:rsid w:val="008A7B72"/>
    <w:rsid w:val="008A7F06"/>
    <w:rsid w:val="008B0582"/>
    <w:rsid w:val="008B0594"/>
    <w:rsid w:val="008B08EA"/>
    <w:rsid w:val="008B2B4D"/>
    <w:rsid w:val="008B3A16"/>
    <w:rsid w:val="008B3DE5"/>
    <w:rsid w:val="008B3E9F"/>
    <w:rsid w:val="008B45AA"/>
    <w:rsid w:val="008B48AD"/>
    <w:rsid w:val="008B5866"/>
    <w:rsid w:val="008B7DCA"/>
    <w:rsid w:val="008C0107"/>
    <w:rsid w:val="008C07D0"/>
    <w:rsid w:val="008C0ABA"/>
    <w:rsid w:val="008C0BBF"/>
    <w:rsid w:val="008C0DD3"/>
    <w:rsid w:val="008C1560"/>
    <w:rsid w:val="008C1CAE"/>
    <w:rsid w:val="008C21C3"/>
    <w:rsid w:val="008C27D4"/>
    <w:rsid w:val="008C2D3F"/>
    <w:rsid w:val="008C2DE2"/>
    <w:rsid w:val="008C2E71"/>
    <w:rsid w:val="008C2F4E"/>
    <w:rsid w:val="008C3557"/>
    <w:rsid w:val="008C415F"/>
    <w:rsid w:val="008C5B76"/>
    <w:rsid w:val="008C69F9"/>
    <w:rsid w:val="008C7030"/>
    <w:rsid w:val="008C74DF"/>
    <w:rsid w:val="008D1394"/>
    <w:rsid w:val="008D14AC"/>
    <w:rsid w:val="008D1C78"/>
    <w:rsid w:val="008D2023"/>
    <w:rsid w:val="008D23BF"/>
    <w:rsid w:val="008D287A"/>
    <w:rsid w:val="008D32B4"/>
    <w:rsid w:val="008D35AA"/>
    <w:rsid w:val="008D3D84"/>
    <w:rsid w:val="008D4FE3"/>
    <w:rsid w:val="008D6A9D"/>
    <w:rsid w:val="008D7772"/>
    <w:rsid w:val="008D7F8F"/>
    <w:rsid w:val="008E0A3C"/>
    <w:rsid w:val="008E0C6C"/>
    <w:rsid w:val="008E0ED0"/>
    <w:rsid w:val="008E1194"/>
    <w:rsid w:val="008E1E49"/>
    <w:rsid w:val="008E2B75"/>
    <w:rsid w:val="008E324E"/>
    <w:rsid w:val="008E35A0"/>
    <w:rsid w:val="008E35D1"/>
    <w:rsid w:val="008E36D2"/>
    <w:rsid w:val="008E389F"/>
    <w:rsid w:val="008E3B96"/>
    <w:rsid w:val="008E4871"/>
    <w:rsid w:val="008E4FF4"/>
    <w:rsid w:val="008E5784"/>
    <w:rsid w:val="008E651A"/>
    <w:rsid w:val="008E66AF"/>
    <w:rsid w:val="008E6983"/>
    <w:rsid w:val="008E6A08"/>
    <w:rsid w:val="008E6AB3"/>
    <w:rsid w:val="008E731D"/>
    <w:rsid w:val="008E736E"/>
    <w:rsid w:val="008E79E8"/>
    <w:rsid w:val="008E7B91"/>
    <w:rsid w:val="008F0483"/>
    <w:rsid w:val="008F22D4"/>
    <w:rsid w:val="008F322E"/>
    <w:rsid w:val="008F3339"/>
    <w:rsid w:val="008F48B1"/>
    <w:rsid w:val="008F4DDE"/>
    <w:rsid w:val="008F4F4D"/>
    <w:rsid w:val="008F54EB"/>
    <w:rsid w:val="008F578F"/>
    <w:rsid w:val="008F5D6B"/>
    <w:rsid w:val="008F651E"/>
    <w:rsid w:val="008F6690"/>
    <w:rsid w:val="008F6834"/>
    <w:rsid w:val="008F7348"/>
    <w:rsid w:val="008F75BD"/>
    <w:rsid w:val="00900499"/>
    <w:rsid w:val="00901281"/>
    <w:rsid w:val="009014F3"/>
    <w:rsid w:val="009029E6"/>
    <w:rsid w:val="00902B4B"/>
    <w:rsid w:val="00902E16"/>
    <w:rsid w:val="00903B5F"/>
    <w:rsid w:val="00903C19"/>
    <w:rsid w:val="00903D78"/>
    <w:rsid w:val="00903E8B"/>
    <w:rsid w:val="00905013"/>
    <w:rsid w:val="009050AB"/>
    <w:rsid w:val="00905AB9"/>
    <w:rsid w:val="009060CA"/>
    <w:rsid w:val="00906252"/>
    <w:rsid w:val="009065A8"/>
    <w:rsid w:val="009065E6"/>
    <w:rsid w:val="009066C9"/>
    <w:rsid w:val="00906A6E"/>
    <w:rsid w:val="00907006"/>
    <w:rsid w:val="0090751E"/>
    <w:rsid w:val="00907D7F"/>
    <w:rsid w:val="0091004F"/>
    <w:rsid w:val="00911779"/>
    <w:rsid w:val="009117C8"/>
    <w:rsid w:val="00911A55"/>
    <w:rsid w:val="00911C3E"/>
    <w:rsid w:val="00911CFD"/>
    <w:rsid w:val="0091215B"/>
    <w:rsid w:val="00912E48"/>
    <w:rsid w:val="0091334B"/>
    <w:rsid w:val="0091445B"/>
    <w:rsid w:val="00914784"/>
    <w:rsid w:val="00914CA0"/>
    <w:rsid w:val="00914E2D"/>
    <w:rsid w:val="00915F85"/>
    <w:rsid w:val="009163CC"/>
    <w:rsid w:val="00916409"/>
    <w:rsid w:val="0091692E"/>
    <w:rsid w:val="00916E06"/>
    <w:rsid w:val="009179DE"/>
    <w:rsid w:val="00917BFD"/>
    <w:rsid w:val="00917D55"/>
    <w:rsid w:val="009207EE"/>
    <w:rsid w:val="00920833"/>
    <w:rsid w:val="00920C83"/>
    <w:rsid w:val="0092102F"/>
    <w:rsid w:val="00921095"/>
    <w:rsid w:val="00922BC8"/>
    <w:rsid w:val="00922BF1"/>
    <w:rsid w:val="00923FCA"/>
    <w:rsid w:val="00924B53"/>
    <w:rsid w:val="00924CEC"/>
    <w:rsid w:val="00924FC0"/>
    <w:rsid w:val="009253AF"/>
    <w:rsid w:val="00925443"/>
    <w:rsid w:val="00925890"/>
    <w:rsid w:val="009261BE"/>
    <w:rsid w:val="009263AB"/>
    <w:rsid w:val="009263DD"/>
    <w:rsid w:val="00927244"/>
    <w:rsid w:val="0092738A"/>
    <w:rsid w:val="00927D4B"/>
    <w:rsid w:val="00927E45"/>
    <w:rsid w:val="009302E6"/>
    <w:rsid w:val="009309F3"/>
    <w:rsid w:val="009310F3"/>
    <w:rsid w:val="009314B0"/>
    <w:rsid w:val="00931820"/>
    <w:rsid w:val="009319FE"/>
    <w:rsid w:val="00931DBE"/>
    <w:rsid w:val="00931F6D"/>
    <w:rsid w:val="0093236C"/>
    <w:rsid w:val="00932AD6"/>
    <w:rsid w:val="00932F5D"/>
    <w:rsid w:val="0093345C"/>
    <w:rsid w:val="00934667"/>
    <w:rsid w:val="009347BA"/>
    <w:rsid w:val="0093677A"/>
    <w:rsid w:val="009367D2"/>
    <w:rsid w:val="0093759D"/>
    <w:rsid w:val="00937BAB"/>
    <w:rsid w:val="00940032"/>
    <w:rsid w:val="00940482"/>
    <w:rsid w:val="009409BE"/>
    <w:rsid w:val="0094135D"/>
    <w:rsid w:val="009418EA"/>
    <w:rsid w:val="00942045"/>
    <w:rsid w:val="009424AE"/>
    <w:rsid w:val="00942531"/>
    <w:rsid w:val="0094408F"/>
    <w:rsid w:val="00944323"/>
    <w:rsid w:val="00944979"/>
    <w:rsid w:val="00944B65"/>
    <w:rsid w:val="009502C4"/>
    <w:rsid w:val="00950634"/>
    <w:rsid w:val="0095092B"/>
    <w:rsid w:val="00950E02"/>
    <w:rsid w:val="00950E07"/>
    <w:rsid w:val="009510A8"/>
    <w:rsid w:val="0095145C"/>
    <w:rsid w:val="00951F0C"/>
    <w:rsid w:val="009521E9"/>
    <w:rsid w:val="00952A60"/>
    <w:rsid w:val="00952D50"/>
    <w:rsid w:val="00953176"/>
    <w:rsid w:val="00953661"/>
    <w:rsid w:val="00953893"/>
    <w:rsid w:val="0095501E"/>
    <w:rsid w:val="009553D0"/>
    <w:rsid w:val="00955542"/>
    <w:rsid w:val="00955778"/>
    <w:rsid w:val="00955951"/>
    <w:rsid w:val="00955FAC"/>
    <w:rsid w:val="00956512"/>
    <w:rsid w:val="00956715"/>
    <w:rsid w:val="009569F4"/>
    <w:rsid w:val="009572F0"/>
    <w:rsid w:val="009573E5"/>
    <w:rsid w:val="00957479"/>
    <w:rsid w:val="00957730"/>
    <w:rsid w:val="00957B91"/>
    <w:rsid w:val="00960529"/>
    <w:rsid w:val="00960897"/>
    <w:rsid w:val="009608CC"/>
    <w:rsid w:val="0096118A"/>
    <w:rsid w:val="0096154E"/>
    <w:rsid w:val="00961FF7"/>
    <w:rsid w:val="00962358"/>
    <w:rsid w:val="0096280A"/>
    <w:rsid w:val="00962ACF"/>
    <w:rsid w:val="00962B49"/>
    <w:rsid w:val="00962E4F"/>
    <w:rsid w:val="0096335F"/>
    <w:rsid w:val="00963C12"/>
    <w:rsid w:val="00964E0C"/>
    <w:rsid w:val="00964E2A"/>
    <w:rsid w:val="0096503C"/>
    <w:rsid w:val="009653C6"/>
    <w:rsid w:val="009659CB"/>
    <w:rsid w:val="00965FD2"/>
    <w:rsid w:val="00966873"/>
    <w:rsid w:val="00966D90"/>
    <w:rsid w:val="0096726D"/>
    <w:rsid w:val="00967614"/>
    <w:rsid w:val="009676EA"/>
    <w:rsid w:val="009677D3"/>
    <w:rsid w:val="00967E04"/>
    <w:rsid w:val="00967E96"/>
    <w:rsid w:val="00970AC1"/>
    <w:rsid w:val="00970CDF"/>
    <w:rsid w:val="00970D41"/>
    <w:rsid w:val="0097109F"/>
    <w:rsid w:val="00971C90"/>
    <w:rsid w:val="00971E1B"/>
    <w:rsid w:val="009720DE"/>
    <w:rsid w:val="00973242"/>
    <w:rsid w:val="009732C1"/>
    <w:rsid w:val="009739AA"/>
    <w:rsid w:val="009739FB"/>
    <w:rsid w:val="00973D6C"/>
    <w:rsid w:val="00973F0F"/>
    <w:rsid w:val="00974035"/>
    <w:rsid w:val="009744F0"/>
    <w:rsid w:val="00974B47"/>
    <w:rsid w:val="00975C73"/>
    <w:rsid w:val="00976325"/>
    <w:rsid w:val="009764A9"/>
    <w:rsid w:val="009768C8"/>
    <w:rsid w:val="0098076D"/>
    <w:rsid w:val="009812FF"/>
    <w:rsid w:val="009815CA"/>
    <w:rsid w:val="009816D7"/>
    <w:rsid w:val="0098200A"/>
    <w:rsid w:val="009828A7"/>
    <w:rsid w:val="00982C70"/>
    <w:rsid w:val="00983930"/>
    <w:rsid w:val="00983961"/>
    <w:rsid w:val="00984847"/>
    <w:rsid w:val="00984912"/>
    <w:rsid w:val="00984CEC"/>
    <w:rsid w:val="00986BB8"/>
    <w:rsid w:val="00986BE3"/>
    <w:rsid w:val="00986EF4"/>
    <w:rsid w:val="00987366"/>
    <w:rsid w:val="00987382"/>
    <w:rsid w:val="009875CD"/>
    <w:rsid w:val="00987B44"/>
    <w:rsid w:val="00987C08"/>
    <w:rsid w:val="009904D5"/>
    <w:rsid w:val="00990529"/>
    <w:rsid w:val="009917A8"/>
    <w:rsid w:val="00991840"/>
    <w:rsid w:val="0099198C"/>
    <w:rsid w:val="009923AF"/>
    <w:rsid w:val="0099296A"/>
    <w:rsid w:val="00993561"/>
    <w:rsid w:val="009938DF"/>
    <w:rsid w:val="009948E6"/>
    <w:rsid w:val="00994D4E"/>
    <w:rsid w:val="0099583F"/>
    <w:rsid w:val="00995F1B"/>
    <w:rsid w:val="00996238"/>
    <w:rsid w:val="00996469"/>
    <w:rsid w:val="00996BF5"/>
    <w:rsid w:val="0099709E"/>
    <w:rsid w:val="009977CD"/>
    <w:rsid w:val="00997D17"/>
    <w:rsid w:val="00997E66"/>
    <w:rsid w:val="009A0A00"/>
    <w:rsid w:val="009A0C58"/>
    <w:rsid w:val="009A19A8"/>
    <w:rsid w:val="009A1BA7"/>
    <w:rsid w:val="009A1FAD"/>
    <w:rsid w:val="009A323C"/>
    <w:rsid w:val="009A37E7"/>
    <w:rsid w:val="009A5779"/>
    <w:rsid w:val="009A5ABC"/>
    <w:rsid w:val="009A5E5F"/>
    <w:rsid w:val="009A662F"/>
    <w:rsid w:val="009A6B76"/>
    <w:rsid w:val="009A6BBF"/>
    <w:rsid w:val="009A79CF"/>
    <w:rsid w:val="009B0979"/>
    <w:rsid w:val="009B13AA"/>
    <w:rsid w:val="009B145C"/>
    <w:rsid w:val="009B1A61"/>
    <w:rsid w:val="009B1C4E"/>
    <w:rsid w:val="009B1CD5"/>
    <w:rsid w:val="009B1DF9"/>
    <w:rsid w:val="009B2267"/>
    <w:rsid w:val="009B2363"/>
    <w:rsid w:val="009B26C7"/>
    <w:rsid w:val="009B2854"/>
    <w:rsid w:val="009B291A"/>
    <w:rsid w:val="009B2E90"/>
    <w:rsid w:val="009B339F"/>
    <w:rsid w:val="009B3B5C"/>
    <w:rsid w:val="009B49D4"/>
    <w:rsid w:val="009B52D0"/>
    <w:rsid w:val="009B5723"/>
    <w:rsid w:val="009B65B5"/>
    <w:rsid w:val="009B68CF"/>
    <w:rsid w:val="009B6A61"/>
    <w:rsid w:val="009B6A89"/>
    <w:rsid w:val="009B6B4C"/>
    <w:rsid w:val="009B72EA"/>
    <w:rsid w:val="009B75DE"/>
    <w:rsid w:val="009C062A"/>
    <w:rsid w:val="009C13C7"/>
    <w:rsid w:val="009C13E0"/>
    <w:rsid w:val="009C1FB7"/>
    <w:rsid w:val="009C28FB"/>
    <w:rsid w:val="009C2A20"/>
    <w:rsid w:val="009C3AEB"/>
    <w:rsid w:val="009C3BA7"/>
    <w:rsid w:val="009C3E75"/>
    <w:rsid w:val="009C4039"/>
    <w:rsid w:val="009C4A87"/>
    <w:rsid w:val="009C5EA0"/>
    <w:rsid w:val="009C6054"/>
    <w:rsid w:val="009C64A4"/>
    <w:rsid w:val="009C6B59"/>
    <w:rsid w:val="009C6F1B"/>
    <w:rsid w:val="009C7140"/>
    <w:rsid w:val="009C73A9"/>
    <w:rsid w:val="009C77CA"/>
    <w:rsid w:val="009C7A9C"/>
    <w:rsid w:val="009C7D16"/>
    <w:rsid w:val="009D00AE"/>
    <w:rsid w:val="009D04EB"/>
    <w:rsid w:val="009D07BA"/>
    <w:rsid w:val="009D0CCB"/>
    <w:rsid w:val="009D0E2E"/>
    <w:rsid w:val="009D0F94"/>
    <w:rsid w:val="009D0FBD"/>
    <w:rsid w:val="009D11B6"/>
    <w:rsid w:val="009D1815"/>
    <w:rsid w:val="009D1987"/>
    <w:rsid w:val="009D1F10"/>
    <w:rsid w:val="009D29D0"/>
    <w:rsid w:val="009D35DE"/>
    <w:rsid w:val="009D3903"/>
    <w:rsid w:val="009D3AD0"/>
    <w:rsid w:val="009D3AE1"/>
    <w:rsid w:val="009D4399"/>
    <w:rsid w:val="009D5515"/>
    <w:rsid w:val="009D5FFE"/>
    <w:rsid w:val="009D6A91"/>
    <w:rsid w:val="009D7D24"/>
    <w:rsid w:val="009D7F9E"/>
    <w:rsid w:val="009E0A54"/>
    <w:rsid w:val="009E0B19"/>
    <w:rsid w:val="009E16AA"/>
    <w:rsid w:val="009E1C74"/>
    <w:rsid w:val="009E1EF0"/>
    <w:rsid w:val="009E29B5"/>
    <w:rsid w:val="009E2BD3"/>
    <w:rsid w:val="009E2D61"/>
    <w:rsid w:val="009E2F63"/>
    <w:rsid w:val="009E3310"/>
    <w:rsid w:val="009E34EC"/>
    <w:rsid w:val="009E35E0"/>
    <w:rsid w:val="009E3AB1"/>
    <w:rsid w:val="009E3B11"/>
    <w:rsid w:val="009E4CD2"/>
    <w:rsid w:val="009E56C7"/>
    <w:rsid w:val="009E5C2D"/>
    <w:rsid w:val="009E5C84"/>
    <w:rsid w:val="009E64F2"/>
    <w:rsid w:val="009E6C4A"/>
    <w:rsid w:val="009E6FF6"/>
    <w:rsid w:val="009F021E"/>
    <w:rsid w:val="009F02FC"/>
    <w:rsid w:val="009F06CF"/>
    <w:rsid w:val="009F1D00"/>
    <w:rsid w:val="009F3A6D"/>
    <w:rsid w:val="009F4172"/>
    <w:rsid w:val="009F4384"/>
    <w:rsid w:val="009F4AC4"/>
    <w:rsid w:val="009F4D5E"/>
    <w:rsid w:val="009F4E56"/>
    <w:rsid w:val="009F52B8"/>
    <w:rsid w:val="009F5465"/>
    <w:rsid w:val="009F5B68"/>
    <w:rsid w:val="009F64BC"/>
    <w:rsid w:val="009F6F21"/>
    <w:rsid w:val="009F7192"/>
    <w:rsid w:val="009F72C0"/>
    <w:rsid w:val="00A00725"/>
    <w:rsid w:val="00A00970"/>
    <w:rsid w:val="00A00A22"/>
    <w:rsid w:val="00A0122C"/>
    <w:rsid w:val="00A012BE"/>
    <w:rsid w:val="00A014C9"/>
    <w:rsid w:val="00A026D0"/>
    <w:rsid w:val="00A029D3"/>
    <w:rsid w:val="00A02BC3"/>
    <w:rsid w:val="00A0402A"/>
    <w:rsid w:val="00A0408A"/>
    <w:rsid w:val="00A0483F"/>
    <w:rsid w:val="00A04BC9"/>
    <w:rsid w:val="00A05106"/>
    <w:rsid w:val="00A055C7"/>
    <w:rsid w:val="00A061BD"/>
    <w:rsid w:val="00A07A75"/>
    <w:rsid w:val="00A07ACF"/>
    <w:rsid w:val="00A1022F"/>
    <w:rsid w:val="00A10A98"/>
    <w:rsid w:val="00A10BE8"/>
    <w:rsid w:val="00A11EC7"/>
    <w:rsid w:val="00A12184"/>
    <w:rsid w:val="00A123FD"/>
    <w:rsid w:val="00A12560"/>
    <w:rsid w:val="00A12BB8"/>
    <w:rsid w:val="00A12C69"/>
    <w:rsid w:val="00A12D85"/>
    <w:rsid w:val="00A1391C"/>
    <w:rsid w:val="00A13C6D"/>
    <w:rsid w:val="00A1526E"/>
    <w:rsid w:val="00A15591"/>
    <w:rsid w:val="00A15673"/>
    <w:rsid w:val="00A15ABC"/>
    <w:rsid w:val="00A15CA5"/>
    <w:rsid w:val="00A15D91"/>
    <w:rsid w:val="00A1602D"/>
    <w:rsid w:val="00A16311"/>
    <w:rsid w:val="00A16413"/>
    <w:rsid w:val="00A166DA"/>
    <w:rsid w:val="00A16C97"/>
    <w:rsid w:val="00A16D49"/>
    <w:rsid w:val="00A1734B"/>
    <w:rsid w:val="00A2107E"/>
    <w:rsid w:val="00A213F9"/>
    <w:rsid w:val="00A215E0"/>
    <w:rsid w:val="00A21F6A"/>
    <w:rsid w:val="00A22701"/>
    <w:rsid w:val="00A22778"/>
    <w:rsid w:val="00A228D9"/>
    <w:rsid w:val="00A23217"/>
    <w:rsid w:val="00A23920"/>
    <w:rsid w:val="00A244D7"/>
    <w:rsid w:val="00A248BC"/>
    <w:rsid w:val="00A2602B"/>
    <w:rsid w:val="00A26C4C"/>
    <w:rsid w:val="00A2728A"/>
    <w:rsid w:val="00A2764D"/>
    <w:rsid w:val="00A27B79"/>
    <w:rsid w:val="00A300E3"/>
    <w:rsid w:val="00A3054D"/>
    <w:rsid w:val="00A30BB2"/>
    <w:rsid w:val="00A30C12"/>
    <w:rsid w:val="00A32270"/>
    <w:rsid w:val="00A324FD"/>
    <w:rsid w:val="00A32642"/>
    <w:rsid w:val="00A328C5"/>
    <w:rsid w:val="00A32CBC"/>
    <w:rsid w:val="00A32CF9"/>
    <w:rsid w:val="00A32D44"/>
    <w:rsid w:val="00A333B5"/>
    <w:rsid w:val="00A33985"/>
    <w:rsid w:val="00A33A79"/>
    <w:rsid w:val="00A34113"/>
    <w:rsid w:val="00A34D81"/>
    <w:rsid w:val="00A34EBB"/>
    <w:rsid w:val="00A35120"/>
    <w:rsid w:val="00A3518B"/>
    <w:rsid w:val="00A36864"/>
    <w:rsid w:val="00A368BD"/>
    <w:rsid w:val="00A36BBA"/>
    <w:rsid w:val="00A36CE3"/>
    <w:rsid w:val="00A37524"/>
    <w:rsid w:val="00A4022E"/>
    <w:rsid w:val="00A40697"/>
    <w:rsid w:val="00A40B30"/>
    <w:rsid w:val="00A40CED"/>
    <w:rsid w:val="00A40E07"/>
    <w:rsid w:val="00A40E9D"/>
    <w:rsid w:val="00A411B9"/>
    <w:rsid w:val="00A4210D"/>
    <w:rsid w:val="00A421E5"/>
    <w:rsid w:val="00A43168"/>
    <w:rsid w:val="00A43774"/>
    <w:rsid w:val="00A43AD7"/>
    <w:rsid w:val="00A44611"/>
    <w:rsid w:val="00A45622"/>
    <w:rsid w:val="00A45752"/>
    <w:rsid w:val="00A4604D"/>
    <w:rsid w:val="00A462A2"/>
    <w:rsid w:val="00A46559"/>
    <w:rsid w:val="00A465E1"/>
    <w:rsid w:val="00A46922"/>
    <w:rsid w:val="00A4721B"/>
    <w:rsid w:val="00A475EF"/>
    <w:rsid w:val="00A47EBF"/>
    <w:rsid w:val="00A47F62"/>
    <w:rsid w:val="00A47FF6"/>
    <w:rsid w:val="00A514CF"/>
    <w:rsid w:val="00A51DAF"/>
    <w:rsid w:val="00A5237D"/>
    <w:rsid w:val="00A5250E"/>
    <w:rsid w:val="00A52C41"/>
    <w:rsid w:val="00A53C89"/>
    <w:rsid w:val="00A54C93"/>
    <w:rsid w:val="00A54CF9"/>
    <w:rsid w:val="00A54D09"/>
    <w:rsid w:val="00A5554D"/>
    <w:rsid w:val="00A55959"/>
    <w:rsid w:val="00A5598F"/>
    <w:rsid w:val="00A55ACF"/>
    <w:rsid w:val="00A56189"/>
    <w:rsid w:val="00A5655C"/>
    <w:rsid w:val="00A5668A"/>
    <w:rsid w:val="00A56AE0"/>
    <w:rsid w:val="00A56B25"/>
    <w:rsid w:val="00A57352"/>
    <w:rsid w:val="00A574A7"/>
    <w:rsid w:val="00A577BD"/>
    <w:rsid w:val="00A57953"/>
    <w:rsid w:val="00A6099A"/>
    <w:rsid w:val="00A613A4"/>
    <w:rsid w:val="00A616E0"/>
    <w:rsid w:val="00A61964"/>
    <w:rsid w:val="00A62907"/>
    <w:rsid w:val="00A62AA2"/>
    <w:rsid w:val="00A62C58"/>
    <w:rsid w:val="00A62C78"/>
    <w:rsid w:val="00A6387A"/>
    <w:rsid w:val="00A63ECD"/>
    <w:rsid w:val="00A63F07"/>
    <w:rsid w:val="00A642CC"/>
    <w:rsid w:val="00A649E5"/>
    <w:rsid w:val="00A66905"/>
    <w:rsid w:val="00A66B18"/>
    <w:rsid w:val="00A66DE6"/>
    <w:rsid w:val="00A67D0B"/>
    <w:rsid w:val="00A70042"/>
    <w:rsid w:val="00A702FB"/>
    <w:rsid w:val="00A703AA"/>
    <w:rsid w:val="00A7128B"/>
    <w:rsid w:val="00A71367"/>
    <w:rsid w:val="00A71B6F"/>
    <w:rsid w:val="00A72348"/>
    <w:rsid w:val="00A7239F"/>
    <w:rsid w:val="00A72594"/>
    <w:rsid w:val="00A726A5"/>
    <w:rsid w:val="00A72AEC"/>
    <w:rsid w:val="00A730FE"/>
    <w:rsid w:val="00A73387"/>
    <w:rsid w:val="00A73877"/>
    <w:rsid w:val="00A747D2"/>
    <w:rsid w:val="00A75603"/>
    <w:rsid w:val="00A75DDF"/>
    <w:rsid w:val="00A76045"/>
    <w:rsid w:val="00A769A7"/>
    <w:rsid w:val="00A76D01"/>
    <w:rsid w:val="00A77C7B"/>
    <w:rsid w:val="00A77C8E"/>
    <w:rsid w:val="00A80399"/>
    <w:rsid w:val="00A80CD3"/>
    <w:rsid w:val="00A80CE4"/>
    <w:rsid w:val="00A80FC8"/>
    <w:rsid w:val="00A82135"/>
    <w:rsid w:val="00A829D6"/>
    <w:rsid w:val="00A82FB2"/>
    <w:rsid w:val="00A83136"/>
    <w:rsid w:val="00A838D4"/>
    <w:rsid w:val="00A84FFA"/>
    <w:rsid w:val="00A8503A"/>
    <w:rsid w:val="00A850D0"/>
    <w:rsid w:val="00A8589F"/>
    <w:rsid w:val="00A85DD6"/>
    <w:rsid w:val="00A86DB5"/>
    <w:rsid w:val="00A86F8E"/>
    <w:rsid w:val="00A87068"/>
    <w:rsid w:val="00A874F4"/>
    <w:rsid w:val="00A875AD"/>
    <w:rsid w:val="00A87CED"/>
    <w:rsid w:val="00A90615"/>
    <w:rsid w:val="00A90B87"/>
    <w:rsid w:val="00A90F1C"/>
    <w:rsid w:val="00A92003"/>
    <w:rsid w:val="00A924F5"/>
    <w:rsid w:val="00A927A6"/>
    <w:rsid w:val="00A92806"/>
    <w:rsid w:val="00A928ED"/>
    <w:rsid w:val="00A931CF"/>
    <w:rsid w:val="00A93C8A"/>
    <w:rsid w:val="00A940DF"/>
    <w:rsid w:val="00A94D45"/>
    <w:rsid w:val="00A95123"/>
    <w:rsid w:val="00A95796"/>
    <w:rsid w:val="00A95C66"/>
    <w:rsid w:val="00A95CB6"/>
    <w:rsid w:val="00A95EAD"/>
    <w:rsid w:val="00A96613"/>
    <w:rsid w:val="00A973C6"/>
    <w:rsid w:val="00AA0CB7"/>
    <w:rsid w:val="00AA0E10"/>
    <w:rsid w:val="00AA10C5"/>
    <w:rsid w:val="00AA1D4D"/>
    <w:rsid w:val="00AA21A5"/>
    <w:rsid w:val="00AA2BF8"/>
    <w:rsid w:val="00AA3278"/>
    <w:rsid w:val="00AA4457"/>
    <w:rsid w:val="00AA46F9"/>
    <w:rsid w:val="00AA51DE"/>
    <w:rsid w:val="00AA5CFC"/>
    <w:rsid w:val="00AA614A"/>
    <w:rsid w:val="00AA6C3E"/>
    <w:rsid w:val="00AB0353"/>
    <w:rsid w:val="00AB06B1"/>
    <w:rsid w:val="00AB07AE"/>
    <w:rsid w:val="00AB0E97"/>
    <w:rsid w:val="00AB111C"/>
    <w:rsid w:val="00AB162B"/>
    <w:rsid w:val="00AB1813"/>
    <w:rsid w:val="00AB1A45"/>
    <w:rsid w:val="00AB1CE6"/>
    <w:rsid w:val="00AB1F4C"/>
    <w:rsid w:val="00AB23CD"/>
    <w:rsid w:val="00AB2693"/>
    <w:rsid w:val="00AB32DF"/>
    <w:rsid w:val="00AB4037"/>
    <w:rsid w:val="00AB5047"/>
    <w:rsid w:val="00AB562B"/>
    <w:rsid w:val="00AB57D7"/>
    <w:rsid w:val="00AB5837"/>
    <w:rsid w:val="00AB6199"/>
    <w:rsid w:val="00AB6814"/>
    <w:rsid w:val="00AC0A86"/>
    <w:rsid w:val="00AC0E95"/>
    <w:rsid w:val="00AC1171"/>
    <w:rsid w:val="00AC1A4A"/>
    <w:rsid w:val="00AC2715"/>
    <w:rsid w:val="00AC3CE4"/>
    <w:rsid w:val="00AC3E3C"/>
    <w:rsid w:val="00AC40CB"/>
    <w:rsid w:val="00AC4166"/>
    <w:rsid w:val="00AC431D"/>
    <w:rsid w:val="00AC4919"/>
    <w:rsid w:val="00AC5441"/>
    <w:rsid w:val="00AC5756"/>
    <w:rsid w:val="00AC5A79"/>
    <w:rsid w:val="00AC71FF"/>
    <w:rsid w:val="00AC7739"/>
    <w:rsid w:val="00AD0E73"/>
    <w:rsid w:val="00AD1E5A"/>
    <w:rsid w:val="00AD23CC"/>
    <w:rsid w:val="00AD2487"/>
    <w:rsid w:val="00AD248B"/>
    <w:rsid w:val="00AD3247"/>
    <w:rsid w:val="00AD3C4C"/>
    <w:rsid w:val="00AD41EB"/>
    <w:rsid w:val="00AD47E9"/>
    <w:rsid w:val="00AD52C3"/>
    <w:rsid w:val="00AD5428"/>
    <w:rsid w:val="00AD5D1B"/>
    <w:rsid w:val="00AD684F"/>
    <w:rsid w:val="00AD68B7"/>
    <w:rsid w:val="00AD69AB"/>
    <w:rsid w:val="00AD6E44"/>
    <w:rsid w:val="00AD6FB5"/>
    <w:rsid w:val="00AD739D"/>
    <w:rsid w:val="00AD758C"/>
    <w:rsid w:val="00AD761D"/>
    <w:rsid w:val="00AD7F2A"/>
    <w:rsid w:val="00AD7FE8"/>
    <w:rsid w:val="00AE042D"/>
    <w:rsid w:val="00AE04BE"/>
    <w:rsid w:val="00AE0F98"/>
    <w:rsid w:val="00AE1E91"/>
    <w:rsid w:val="00AE2018"/>
    <w:rsid w:val="00AE20E7"/>
    <w:rsid w:val="00AE2AB3"/>
    <w:rsid w:val="00AE3222"/>
    <w:rsid w:val="00AE39C0"/>
    <w:rsid w:val="00AE3A4C"/>
    <w:rsid w:val="00AE3EE7"/>
    <w:rsid w:val="00AE3F74"/>
    <w:rsid w:val="00AE4170"/>
    <w:rsid w:val="00AE448E"/>
    <w:rsid w:val="00AE49C2"/>
    <w:rsid w:val="00AE5083"/>
    <w:rsid w:val="00AE5470"/>
    <w:rsid w:val="00AE6B03"/>
    <w:rsid w:val="00AE7166"/>
    <w:rsid w:val="00AF2393"/>
    <w:rsid w:val="00AF28EC"/>
    <w:rsid w:val="00AF2991"/>
    <w:rsid w:val="00AF2A55"/>
    <w:rsid w:val="00AF2D99"/>
    <w:rsid w:val="00AF4C96"/>
    <w:rsid w:val="00AF52CA"/>
    <w:rsid w:val="00AF5BFB"/>
    <w:rsid w:val="00AF5D25"/>
    <w:rsid w:val="00AF5EE1"/>
    <w:rsid w:val="00AF5F47"/>
    <w:rsid w:val="00AF6116"/>
    <w:rsid w:val="00AF71EC"/>
    <w:rsid w:val="00AF72D2"/>
    <w:rsid w:val="00AF7958"/>
    <w:rsid w:val="00AF7F03"/>
    <w:rsid w:val="00B005A8"/>
    <w:rsid w:val="00B0072F"/>
    <w:rsid w:val="00B00915"/>
    <w:rsid w:val="00B00B9C"/>
    <w:rsid w:val="00B00BC7"/>
    <w:rsid w:val="00B00C81"/>
    <w:rsid w:val="00B01218"/>
    <w:rsid w:val="00B01E3F"/>
    <w:rsid w:val="00B0256F"/>
    <w:rsid w:val="00B02B2D"/>
    <w:rsid w:val="00B02E94"/>
    <w:rsid w:val="00B047EB"/>
    <w:rsid w:val="00B04B54"/>
    <w:rsid w:val="00B0615A"/>
    <w:rsid w:val="00B065CE"/>
    <w:rsid w:val="00B06B4B"/>
    <w:rsid w:val="00B06D44"/>
    <w:rsid w:val="00B06E29"/>
    <w:rsid w:val="00B07EE7"/>
    <w:rsid w:val="00B10AAD"/>
    <w:rsid w:val="00B10F1B"/>
    <w:rsid w:val="00B12586"/>
    <w:rsid w:val="00B12C1D"/>
    <w:rsid w:val="00B13115"/>
    <w:rsid w:val="00B1340B"/>
    <w:rsid w:val="00B134A9"/>
    <w:rsid w:val="00B13EA5"/>
    <w:rsid w:val="00B14165"/>
    <w:rsid w:val="00B14D0A"/>
    <w:rsid w:val="00B153B6"/>
    <w:rsid w:val="00B161A5"/>
    <w:rsid w:val="00B176D7"/>
    <w:rsid w:val="00B17A4D"/>
    <w:rsid w:val="00B2027D"/>
    <w:rsid w:val="00B2035E"/>
    <w:rsid w:val="00B20F74"/>
    <w:rsid w:val="00B22363"/>
    <w:rsid w:val="00B22399"/>
    <w:rsid w:val="00B229B9"/>
    <w:rsid w:val="00B22B8B"/>
    <w:rsid w:val="00B23436"/>
    <w:rsid w:val="00B234B4"/>
    <w:rsid w:val="00B23A9C"/>
    <w:rsid w:val="00B24473"/>
    <w:rsid w:val="00B24D9D"/>
    <w:rsid w:val="00B26148"/>
    <w:rsid w:val="00B268BD"/>
    <w:rsid w:val="00B2695D"/>
    <w:rsid w:val="00B27277"/>
    <w:rsid w:val="00B27940"/>
    <w:rsid w:val="00B27C40"/>
    <w:rsid w:val="00B30CF5"/>
    <w:rsid w:val="00B313DF"/>
    <w:rsid w:val="00B319B8"/>
    <w:rsid w:val="00B32783"/>
    <w:rsid w:val="00B328AB"/>
    <w:rsid w:val="00B328B7"/>
    <w:rsid w:val="00B32AB3"/>
    <w:rsid w:val="00B335E5"/>
    <w:rsid w:val="00B33951"/>
    <w:rsid w:val="00B33C47"/>
    <w:rsid w:val="00B33CE0"/>
    <w:rsid w:val="00B33CE7"/>
    <w:rsid w:val="00B34A54"/>
    <w:rsid w:val="00B35F92"/>
    <w:rsid w:val="00B36435"/>
    <w:rsid w:val="00B36D29"/>
    <w:rsid w:val="00B36FE5"/>
    <w:rsid w:val="00B37494"/>
    <w:rsid w:val="00B405B7"/>
    <w:rsid w:val="00B4098D"/>
    <w:rsid w:val="00B4114C"/>
    <w:rsid w:val="00B411AA"/>
    <w:rsid w:val="00B41582"/>
    <w:rsid w:val="00B41C4B"/>
    <w:rsid w:val="00B420EA"/>
    <w:rsid w:val="00B42E01"/>
    <w:rsid w:val="00B43D0E"/>
    <w:rsid w:val="00B43F52"/>
    <w:rsid w:val="00B44C79"/>
    <w:rsid w:val="00B44E07"/>
    <w:rsid w:val="00B44F03"/>
    <w:rsid w:val="00B45509"/>
    <w:rsid w:val="00B456E9"/>
    <w:rsid w:val="00B45F3E"/>
    <w:rsid w:val="00B46CC8"/>
    <w:rsid w:val="00B4709E"/>
    <w:rsid w:val="00B479C0"/>
    <w:rsid w:val="00B47B6A"/>
    <w:rsid w:val="00B50286"/>
    <w:rsid w:val="00B50610"/>
    <w:rsid w:val="00B509D3"/>
    <w:rsid w:val="00B512E7"/>
    <w:rsid w:val="00B518D5"/>
    <w:rsid w:val="00B52762"/>
    <w:rsid w:val="00B52BCE"/>
    <w:rsid w:val="00B53037"/>
    <w:rsid w:val="00B5312E"/>
    <w:rsid w:val="00B538C8"/>
    <w:rsid w:val="00B5488B"/>
    <w:rsid w:val="00B5493C"/>
    <w:rsid w:val="00B54943"/>
    <w:rsid w:val="00B54AE2"/>
    <w:rsid w:val="00B54FB8"/>
    <w:rsid w:val="00B55195"/>
    <w:rsid w:val="00B55F42"/>
    <w:rsid w:val="00B560F2"/>
    <w:rsid w:val="00B56A2B"/>
    <w:rsid w:val="00B56CA4"/>
    <w:rsid w:val="00B56FDE"/>
    <w:rsid w:val="00B57CA2"/>
    <w:rsid w:val="00B6085E"/>
    <w:rsid w:val="00B608B3"/>
    <w:rsid w:val="00B60914"/>
    <w:rsid w:val="00B60FC9"/>
    <w:rsid w:val="00B61844"/>
    <w:rsid w:val="00B61D66"/>
    <w:rsid w:val="00B620F8"/>
    <w:rsid w:val="00B6223B"/>
    <w:rsid w:val="00B62270"/>
    <w:rsid w:val="00B623FD"/>
    <w:rsid w:val="00B62801"/>
    <w:rsid w:val="00B63265"/>
    <w:rsid w:val="00B63FC6"/>
    <w:rsid w:val="00B64187"/>
    <w:rsid w:val="00B64415"/>
    <w:rsid w:val="00B64A81"/>
    <w:rsid w:val="00B64D37"/>
    <w:rsid w:val="00B654E8"/>
    <w:rsid w:val="00B65D5E"/>
    <w:rsid w:val="00B6615D"/>
    <w:rsid w:val="00B66469"/>
    <w:rsid w:val="00B664BE"/>
    <w:rsid w:val="00B6715F"/>
    <w:rsid w:val="00B67298"/>
    <w:rsid w:val="00B677F2"/>
    <w:rsid w:val="00B67DE7"/>
    <w:rsid w:val="00B71AC0"/>
    <w:rsid w:val="00B7256A"/>
    <w:rsid w:val="00B72802"/>
    <w:rsid w:val="00B72DC8"/>
    <w:rsid w:val="00B73095"/>
    <w:rsid w:val="00B730A1"/>
    <w:rsid w:val="00B73AA8"/>
    <w:rsid w:val="00B73F2D"/>
    <w:rsid w:val="00B74FA6"/>
    <w:rsid w:val="00B75188"/>
    <w:rsid w:val="00B75686"/>
    <w:rsid w:val="00B75D03"/>
    <w:rsid w:val="00B766A0"/>
    <w:rsid w:val="00B76962"/>
    <w:rsid w:val="00B76994"/>
    <w:rsid w:val="00B76AC0"/>
    <w:rsid w:val="00B774A9"/>
    <w:rsid w:val="00B77809"/>
    <w:rsid w:val="00B77C0F"/>
    <w:rsid w:val="00B77F29"/>
    <w:rsid w:val="00B80177"/>
    <w:rsid w:val="00B80BDB"/>
    <w:rsid w:val="00B80CA6"/>
    <w:rsid w:val="00B82272"/>
    <w:rsid w:val="00B8399F"/>
    <w:rsid w:val="00B839E6"/>
    <w:rsid w:val="00B84DEB"/>
    <w:rsid w:val="00B85259"/>
    <w:rsid w:val="00B85280"/>
    <w:rsid w:val="00B852BA"/>
    <w:rsid w:val="00B85B29"/>
    <w:rsid w:val="00B862B4"/>
    <w:rsid w:val="00B86D7F"/>
    <w:rsid w:val="00B871DE"/>
    <w:rsid w:val="00B87311"/>
    <w:rsid w:val="00B87A2E"/>
    <w:rsid w:val="00B900C1"/>
    <w:rsid w:val="00B91E38"/>
    <w:rsid w:val="00B92D93"/>
    <w:rsid w:val="00B94116"/>
    <w:rsid w:val="00B94466"/>
    <w:rsid w:val="00B9499B"/>
    <w:rsid w:val="00B94BAF"/>
    <w:rsid w:val="00B94C4F"/>
    <w:rsid w:val="00B94D54"/>
    <w:rsid w:val="00B954E6"/>
    <w:rsid w:val="00B95540"/>
    <w:rsid w:val="00B95C61"/>
    <w:rsid w:val="00B96579"/>
    <w:rsid w:val="00B9662B"/>
    <w:rsid w:val="00B97542"/>
    <w:rsid w:val="00B97A4C"/>
    <w:rsid w:val="00B97F86"/>
    <w:rsid w:val="00BA05B7"/>
    <w:rsid w:val="00BA0868"/>
    <w:rsid w:val="00BA0A37"/>
    <w:rsid w:val="00BA0BCF"/>
    <w:rsid w:val="00BA0CAB"/>
    <w:rsid w:val="00BA0EB1"/>
    <w:rsid w:val="00BA16BA"/>
    <w:rsid w:val="00BA1EA3"/>
    <w:rsid w:val="00BA2B12"/>
    <w:rsid w:val="00BA2F3A"/>
    <w:rsid w:val="00BA3AC0"/>
    <w:rsid w:val="00BA3AEA"/>
    <w:rsid w:val="00BA550A"/>
    <w:rsid w:val="00BA56B6"/>
    <w:rsid w:val="00BA5744"/>
    <w:rsid w:val="00BA5988"/>
    <w:rsid w:val="00BA5DFD"/>
    <w:rsid w:val="00BA651B"/>
    <w:rsid w:val="00BA6ABB"/>
    <w:rsid w:val="00BA75F2"/>
    <w:rsid w:val="00BA76FC"/>
    <w:rsid w:val="00BA78DD"/>
    <w:rsid w:val="00BA7B90"/>
    <w:rsid w:val="00BB04BA"/>
    <w:rsid w:val="00BB1481"/>
    <w:rsid w:val="00BB1504"/>
    <w:rsid w:val="00BB292E"/>
    <w:rsid w:val="00BB2AA3"/>
    <w:rsid w:val="00BB2C6C"/>
    <w:rsid w:val="00BB32B9"/>
    <w:rsid w:val="00BB34A3"/>
    <w:rsid w:val="00BB362E"/>
    <w:rsid w:val="00BB3D14"/>
    <w:rsid w:val="00BB3DAB"/>
    <w:rsid w:val="00BB4869"/>
    <w:rsid w:val="00BB55F7"/>
    <w:rsid w:val="00BB59A5"/>
    <w:rsid w:val="00BB6F8B"/>
    <w:rsid w:val="00BB74DE"/>
    <w:rsid w:val="00BB7636"/>
    <w:rsid w:val="00BB776B"/>
    <w:rsid w:val="00BB7D96"/>
    <w:rsid w:val="00BC08EF"/>
    <w:rsid w:val="00BC09E5"/>
    <w:rsid w:val="00BC0A60"/>
    <w:rsid w:val="00BC11E6"/>
    <w:rsid w:val="00BC17DC"/>
    <w:rsid w:val="00BC1E93"/>
    <w:rsid w:val="00BC209E"/>
    <w:rsid w:val="00BC2294"/>
    <w:rsid w:val="00BC2C39"/>
    <w:rsid w:val="00BC2EAE"/>
    <w:rsid w:val="00BC32DE"/>
    <w:rsid w:val="00BC3EC3"/>
    <w:rsid w:val="00BC3FFE"/>
    <w:rsid w:val="00BC58B3"/>
    <w:rsid w:val="00BC5B37"/>
    <w:rsid w:val="00BC62AB"/>
    <w:rsid w:val="00BC6586"/>
    <w:rsid w:val="00BC6704"/>
    <w:rsid w:val="00BC7168"/>
    <w:rsid w:val="00BC78A0"/>
    <w:rsid w:val="00BC7DFE"/>
    <w:rsid w:val="00BC7F64"/>
    <w:rsid w:val="00BD022F"/>
    <w:rsid w:val="00BD0232"/>
    <w:rsid w:val="00BD1E59"/>
    <w:rsid w:val="00BD2991"/>
    <w:rsid w:val="00BD39A8"/>
    <w:rsid w:val="00BD506C"/>
    <w:rsid w:val="00BD50FC"/>
    <w:rsid w:val="00BD5897"/>
    <w:rsid w:val="00BD5AF4"/>
    <w:rsid w:val="00BD5BF9"/>
    <w:rsid w:val="00BD5F7E"/>
    <w:rsid w:val="00BD667C"/>
    <w:rsid w:val="00BD6EA6"/>
    <w:rsid w:val="00BD6F71"/>
    <w:rsid w:val="00BD70BA"/>
    <w:rsid w:val="00BD766B"/>
    <w:rsid w:val="00BD79F2"/>
    <w:rsid w:val="00BD7D21"/>
    <w:rsid w:val="00BE18D2"/>
    <w:rsid w:val="00BE3410"/>
    <w:rsid w:val="00BE3712"/>
    <w:rsid w:val="00BE445A"/>
    <w:rsid w:val="00BE4633"/>
    <w:rsid w:val="00BE49E6"/>
    <w:rsid w:val="00BE4D4B"/>
    <w:rsid w:val="00BE5F4D"/>
    <w:rsid w:val="00BE6556"/>
    <w:rsid w:val="00BE70E5"/>
    <w:rsid w:val="00BE7181"/>
    <w:rsid w:val="00BE738F"/>
    <w:rsid w:val="00BE754A"/>
    <w:rsid w:val="00BE7A89"/>
    <w:rsid w:val="00BE7EC0"/>
    <w:rsid w:val="00BF088C"/>
    <w:rsid w:val="00BF0B42"/>
    <w:rsid w:val="00BF0B4B"/>
    <w:rsid w:val="00BF0EC8"/>
    <w:rsid w:val="00BF1109"/>
    <w:rsid w:val="00BF12F2"/>
    <w:rsid w:val="00BF1306"/>
    <w:rsid w:val="00BF183B"/>
    <w:rsid w:val="00BF2D8F"/>
    <w:rsid w:val="00BF2DFD"/>
    <w:rsid w:val="00BF2FA9"/>
    <w:rsid w:val="00BF3365"/>
    <w:rsid w:val="00BF3506"/>
    <w:rsid w:val="00BF38F3"/>
    <w:rsid w:val="00BF3C9B"/>
    <w:rsid w:val="00BF4A14"/>
    <w:rsid w:val="00BF4A84"/>
    <w:rsid w:val="00BF4FC3"/>
    <w:rsid w:val="00BF5445"/>
    <w:rsid w:val="00BF5ADB"/>
    <w:rsid w:val="00BF60B9"/>
    <w:rsid w:val="00BF70BC"/>
    <w:rsid w:val="00BF7442"/>
    <w:rsid w:val="00BF76DC"/>
    <w:rsid w:val="00C002F6"/>
    <w:rsid w:val="00C00358"/>
    <w:rsid w:val="00C0089E"/>
    <w:rsid w:val="00C00DC0"/>
    <w:rsid w:val="00C011A8"/>
    <w:rsid w:val="00C01274"/>
    <w:rsid w:val="00C01767"/>
    <w:rsid w:val="00C01B9A"/>
    <w:rsid w:val="00C01F72"/>
    <w:rsid w:val="00C02271"/>
    <w:rsid w:val="00C02AA3"/>
    <w:rsid w:val="00C02AE3"/>
    <w:rsid w:val="00C02CE2"/>
    <w:rsid w:val="00C02D10"/>
    <w:rsid w:val="00C031AA"/>
    <w:rsid w:val="00C03DD5"/>
    <w:rsid w:val="00C0422A"/>
    <w:rsid w:val="00C043D5"/>
    <w:rsid w:val="00C04695"/>
    <w:rsid w:val="00C047BD"/>
    <w:rsid w:val="00C04CB9"/>
    <w:rsid w:val="00C05398"/>
    <w:rsid w:val="00C05856"/>
    <w:rsid w:val="00C062A3"/>
    <w:rsid w:val="00C06EF3"/>
    <w:rsid w:val="00C10C08"/>
    <w:rsid w:val="00C11258"/>
    <w:rsid w:val="00C1163E"/>
    <w:rsid w:val="00C11A3C"/>
    <w:rsid w:val="00C11D5F"/>
    <w:rsid w:val="00C125EE"/>
    <w:rsid w:val="00C12867"/>
    <w:rsid w:val="00C12A14"/>
    <w:rsid w:val="00C12CA5"/>
    <w:rsid w:val="00C12E08"/>
    <w:rsid w:val="00C134FA"/>
    <w:rsid w:val="00C137B0"/>
    <w:rsid w:val="00C13E05"/>
    <w:rsid w:val="00C14064"/>
    <w:rsid w:val="00C142BC"/>
    <w:rsid w:val="00C143A2"/>
    <w:rsid w:val="00C14E5A"/>
    <w:rsid w:val="00C152D8"/>
    <w:rsid w:val="00C162F1"/>
    <w:rsid w:val="00C1665C"/>
    <w:rsid w:val="00C1687E"/>
    <w:rsid w:val="00C16B17"/>
    <w:rsid w:val="00C16ED6"/>
    <w:rsid w:val="00C1729A"/>
    <w:rsid w:val="00C175CF"/>
    <w:rsid w:val="00C1765B"/>
    <w:rsid w:val="00C1769C"/>
    <w:rsid w:val="00C176BC"/>
    <w:rsid w:val="00C20102"/>
    <w:rsid w:val="00C201DF"/>
    <w:rsid w:val="00C20632"/>
    <w:rsid w:val="00C20958"/>
    <w:rsid w:val="00C20C9D"/>
    <w:rsid w:val="00C20CB6"/>
    <w:rsid w:val="00C20F19"/>
    <w:rsid w:val="00C21C62"/>
    <w:rsid w:val="00C220AC"/>
    <w:rsid w:val="00C22C71"/>
    <w:rsid w:val="00C22FBD"/>
    <w:rsid w:val="00C2492C"/>
    <w:rsid w:val="00C24D31"/>
    <w:rsid w:val="00C24D34"/>
    <w:rsid w:val="00C26054"/>
    <w:rsid w:val="00C2615E"/>
    <w:rsid w:val="00C2639B"/>
    <w:rsid w:val="00C267A6"/>
    <w:rsid w:val="00C26A2D"/>
    <w:rsid w:val="00C26D84"/>
    <w:rsid w:val="00C27708"/>
    <w:rsid w:val="00C27B67"/>
    <w:rsid w:val="00C27BFE"/>
    <w:rsid w:val="00C3034E"/>
    <w:rsid w:val="00C30C65"/>
    <w:rsid w:val="00C30D64"/>
    <w:rsid w:val="00C32278"/>
    <w:rsid w:val="00C3245B"/>
    <w:rsid w:val="00C3272D"/>
    <w:rsid w:val="00C32B7F"/>
    <w:rsid w:val="00C32D5E"/>
    <w:rsid w:val="00C32EC6"/>
    <w:rsid w:val="00C33077"/>
    <w:rsid w:val="00C330DE"/>
    <w:rsid w:val="00C33198"/>
    <w:rsid w:val="00C34DB9"/>
    <w:rsid w:val="00C35059"/>
    <w:rsid w:val="00C35F4D"/>
    <w:rsid w:val="00C3609F"/>
    <w:rsid w:val="00C3614C"/>
    <w:rsid w:val="00C3706E"/>
    <w:rsid w:val="00C375D9"/>
    <w:rsid w:val="00C379C4"/>
    <w:rsid w:val="00C403B7"/>
    <w:rsid w:val="00C41065"/>
    <w:rsid w:val="00C4150D"/>
    <w:rsid w:val="00C41828"/>
    <w:rsid w:val="00C42076"/>
    <w:rsid w:val="00C427E6"/>
    <w:rsid w:val="00C427F8"/>
    <w:rsid w:val="00C428E6"/>
    <w:rsid w:val="00C42C2F"/>
    <w:rsid w:val="00C430A5"/>
    <w:rsid w:val="00C43347"/>
    <w:rsid w:val="00C43567"/>
    <w:rsid w:val="00C4364E"/>
    <w:rsid w:val="00C43875"/>
    <w:rsid w:val="00C43AA9"/>
    <w:rsid w:val="00C43C85"/>
    <w:rsid w:val="00C43E2A"/>
    <w:rsid w:val="00C4457E"/>
    <w:rsid w:val="00C44F58"/>
    <w:rsid w:val="00C450FA"/>
    <w:rsid w:val="00C45629"/>
    <w:rsid w:val="00C45A0D"/>
    <w:rsid w:val="00C45A23"/>
    <w:rsid w:val="00C45C7A"/>
    <w:rsid w:val="00C45CF0"/>
    <w:rsid w:val="00C46347"/>
    <w:rsid w:val="00C46552"/>
    <w:rsid w:val="00C46F64"/>
    <w:rsid w:val="00C5000C"/>
    <w:rsid w:val="00C500A9"/>
    <w:rsid w:val="00C5028C"/>
    <w:rsid w:val="00C509C9"/>
    <w:rsid w:val="00C50A43"/>
    <w:rsid w:val="00C5124B"/>
    <w:rsid w:val="00C5134A"/>
    <w:rsid w:val="00C514D4"/>
    <w:rsid w:val="00C52039"/>
    <w:rsid w:val="00C52229"/>
    <w:rsid w:val="00C52A49"/>
    <w:rsid w:val="00C52AF8"/>
    <w:rsid w:val="00C52BB3"/>
    <w:rsid w:val="00C52CA1"/>
    <w:rsid w:val="00C532D3"/>
    <w:rsid w:val="00C53330"/>
    <w:rsid w:val="00C5357D"/>
    <w:rsid w:val="00C540E8"/>
    <w:rsid w:val="00C547AC"/>
    <w:rsid w:val="00C54D7C"/>
    <w:rsid w:val="00C54ED2"/>
    <w:rsid w:val="00C54F9F"/>
    <w:rsid w:val="00C553E0"/>
    <w:rsid w:val="00C55719"/>
    <w:rsid w:val="00C55740"/>
    <w:rsid w:val="00C55B15"/>
    <w:rsid w:val="00C55BF8"/>
    <w:rsid w:val="00C55D1F"/>
    <w:rsid w:val="00C56100"/>
    <w:rsid w:val="00C568DA"/>
    <w:rsid w:val="00C56BA5"/>
    <w:rsid w:val="00C57290"/>
    <w:rsid w:val="00C57454"/>
    <w:rsid w:val="00C5793F"/>
    <w:rsid w:val="00C57B37"/>
    <w:rsid w:val="00C60591"/>
    <w:rsid w:val="00C60A27"/>
    <w:rsid w:val="00C60A84"/>
    <w:rsid w:val="00C60D15"/>
    <w:rsid w:val="00C61357"/>
    <w:rsid w:val="00C61501"/>
    <w:rsid w:val="00C625C7"/>
    <w:rsid w:val="00C636D8"/>
    <w:rsid w:val="00C640E2"/>
    <w:rsid w:val="00C64ABA"/>
    <w:rsid w:val="00C64CC4"/>
    <w:rsid w:val="00C64D5C"/>
    <w:rsid w:val="00C66E7F"/>
    <w:rsid w:val="00C6708A"/>
    <w:rsid w:val="00C6796D"/>
    <w:rsid w:val="00C67A58"/>
    <w:rsid w:val="00C67F05"/>
    <w:rsid w:val="00C7000B"/>
    <w:rsid w:val="00C7068F"/>
    <w:rsid w:val="00C70C30"/>
    <w:rsid w:val="00C71455"/>
    <w:rsid w:val="00C715CD"/>
    <w:rsid w:val="00C71794"/>
    <w:rsid w:val="00C71C6C"/>
    <w:rsid w:val="00C73D86"/>
    <w:rsid w:val="00C75006"/>
    <w:rsid w:val="00C7518B"/>
    <w:rsid w:val="00C75353"/>
    <w:rsid w:val="00C75AFB"/>
    <w:rsid w:val="00C75B90"/>
    <w:rsid w:val="00C75F38"/>
    <w:rsid w:val="00C76177"/>
    <w:rsid w:val="00C76345"/>
    <w:rsid w:val="00C76448"/>
    <w:rsid w:val="00C7661A"/>
    <w:rsid w:val="00C77306"/>
    <w:rsid w:val="00C77361"/>
    <w:rsid w:val="00C77777"/>
    <w:rsid w:val="00C77E7B"/>
    <w:rsid w:val="00C81729"/>
    <w:rsid w:val="00C8181A"/>
    <w:rsid w:val="00C81A2B"/>
    <w:rsid w:val="00C81F7F"/>
    <w:rsid w:val="00C821D5"/>
    <w:rsid w:val="00C8238F"/>
    <w:rsid w:val="00C82426"/>
    <w:rsid w:val="00C829A3"/>
    <w:rsid w:val="00C83133"/>
    <w:rsid w:val="00C839EC"/>
    <w:rsid w:val="00C849C8"/>
    <w:rsid w:val="00C85242"/>
    <w:rsid w:val="00C85353"/>
    <w:rsid w:val="00C85386"/>
    <w:rsid w:val="00C86364"/>
    <w:rsid w:val="00C8746A"/>
    <w:rsid w:val="00C875F7"/>
    <w:rsid w:val="00C87747"/>
    <w:rsid w:val="00C879D3"/>
    <w:rsid w:val="00C9043A"/>
    <w:rsid w:val="00C904CE"/>
    <w:rsid w:val="00C906B0"/>
    <w:rsid w:val="00C90A15"/>
    <w:rsid w:val="00C918C1"/>
    <w:rsid w:val="00C92D35"/>
    <w:rsid w:val="00C93369"/>
    <w:rsid w:val="00C94763"/>
    <w:rsid w:val="00C94D53"/>
    <w:rsid w:val="00C94FFB"/>
    <w:rsid w:val="00C953A4"/>
    <w:rsid w:val="00C95771"/>
    <w:rsid w:val="00C95964"/>
    <w:rsid w:val="00C97523"/>
    <w:rsid w:val="00C97E68"/>
    <w:rsid w:val="00CA10A6"/>
    <w:rsid w:val="00CA1B3E"/>
    <w:rsid w:val="00CA25D5"/>
    <w:rsid w:val="00CA2AFC"/>
    <w:rsid w:val="00CA316F"/>
    <w:rsid w:val="00CA3203"/>
    <w:rsid w:val="00CA37A4"/>
    <w:rsid w:val="00CA399A"/>
    <w:rsid w:val="00CA4632"/>
    <w:rsid w:val="00CA4B6D"/>
    <w:rsid w:val="00CA4B9A"/>
    <w:rsid w:val="00CA4DD6"/>
    <w:rsid w:val="00CA57AD"/>
    <w:rsid w:val="00CA5D26"/>
    <w:rsid w:val="00CA60B1"/>
    <w:rsid w:val="00CA6196"/>
    <w:rsid w:val="00CA67E7"/>
    <w:rsid w:val="00CA7FF4"/>
    <w:rsid w:val="00CB0091"/>
    <w:rsid w:val="00CB035B"/>
    <w:rsid w:val="00CB0516"/>
    <w:rsid w:val="00CB0714"/>
    <w:rsid w:val="00CB07A3"/>
    <w:rsid w:val="00CB0B9A"/>
    <w:rsid w:val="00CB0D59"/>
    <w:rsid w:val="00CB0F24"/>
    <w:rsid w:val="00CB1036"/>
    <w:rsid w:val="00CB1176"/>
    <w:rsid w:val="00CB146F"/>
    <w:rsid w:val="00CB19D5"/>
    <w:rsid w:val="00CB2446"/>
    <w:rsid w:val="00CB24A4"/>
    <w:rsid w:val="00CB29A2"/>
    <w:rsid w:val="00CB2F66"/>
    <w:rsid w:val="00CB331D"/>
    <w:rsid w:val="00CB3355"/>
    <w:rsid w:val="00CB3573"/>
    <w:rsid w:val="00CB43C5"/>
    <w:rsid w:val="00CB496B"/>
    <w:rsid w:val="00CB51D1"/>
    <w:rsid w:val="00CB55C2"/>
    <w:rsid w:val="00CB5BE3"/>
    <w:rsid w:val="00CB5BE9"/>
    <w:rsid w:val="00CB5F3E"/>
    <w:rsid w:val="00CB5FEA"/>
    <w:rsid w:val="00CB6027"/>
    <w:rsid w:val="00CB6B26"/>
    <w:rsid w:val="00CB6C2E"/>
    <w:rsid w:val="00CB709F"/>
    <w:rsid w:val="00CB7872"/>
    <w:rsid w:val="00CB7EC0"/>
    <w:rsid w:val="00CC0323"/>
    <w:rsid w:val="00CC11F1"/>
    <w:rsid w:val="00CC16BE"/>
    <w:rsid w:val="00CC2BA3"/>
    <w:rsid w:val="00CC3152"/>
    <w:rsid w:val="00CC32E4"/>
    <w:rsid w:val="00CC33C2"/>
    <w:rsid w:val="00CC3647"/>
    <w:rsid w:val="00CC3907"/>
    <w:rsid w:val="00CC4370"/>
    <w:rsid w:val="00CC4C9C"/>
    <w:rsid w:val="00CC5009"/>
    <w:rsid w:val="00CC55D4"/>
    <w:rsid w:val="00CC5829"/>
    <w:rsid w:val="00CC5A93"/>
    <w:rsid w:val="00CC5FEF"/>
    <w:rsid w:val="00CC6237"/>
    <w:rsid w:val="00CC6973"/>
    <w:rsid w:val="00CC7599"/>
    <w:rsid w:val="00CC7910"/>
    <w:rsid w:val="00CD0A69"/>
    <w:rsid w:val="00CD0F2B"/>
    <w:rsid w:val="00CD12FA"/>
    <w:rsid w:val="00CD160A"/>
    <w:rsid w:val="00CD16C5"/>
    <w:rsid w:val="00CD22AD"/>
    <w:rsid w:val="00CD2353"/>
    <w:rsid w:val="00CD2F9B"/>
    <w:rsid w:val="00CD3FD1"/>
    <w:rsid w:val="00CD4714"/>
    <w:rsid w:val="00CD4787"/>
    <w:rsid w:val="00CD4E6D"/>
    <w:rsid w:val="00CD71D7"/>
    <w:rsid w:val="00CD782A"/>
    <w:rsid w:val="00CD7FF0"/>
    <w:rsid w:val="00CE04D0"/>
    <w:rsid w:val="00CE0A14"/>
    <w:rsid w:val="00CE0AE7"/>
    <w:rsid w:val="00CE15E0"/>
    <w:rsid w:val="00CE18AA"/>
    <w:rsid w:val="00CE196B"/>
    <w:rsid w:val="00CE2025"/>
    <w:rsid w:val="00CE213A"/>
    <w:rsid w:val="00CE2802"/>
    <w:rsid w:val="00CE2AB0"/>
    <w:rsid w:val="00CE2B9E"/>
    <w:rsid w:val="00CE2D2E"/>
    <w:rsid w:val="00CE38E7"/>
    <w:rsid w:val="00CE3DE4"/>
    <w:rsid w:val="00CE3F9A"/>
    <w:rsid w:val="00CE43DE"/>
    <w:rsid w:val="00CE495C"/>
    <w:rsid w:val="00CE49F3"/>
    <w:rsid w:val="00CE4A1E"/>
    <w:rsid w:val="00CE5795"/>
    <w:rsid w:val="00CE6052"/>
    <w:rsid w:val="00CE624F"/>
    <w:rsid w:val="00CE6A33"/>
    <w:rsid w:val="00CE6F9D"/>
    <w:rsid w:val="00CE73ED"/>
    <w:rsid w:val="00CF02F0"/>
    <w:rsid w:val="00CF1155"/>
    <w:rsid w:val="00CF1BD8"/>
    <w:rsid w:val="00CF1F5D"/>
    <w:rsid w:val="00CF219D"/>
    <w:rsid w:val="00CF2452"/>
    <w:rsid w:val="00CF2823"/>
    <w:rsid w:val="00CF29DA"/>
    <w:rsid w:val="00CF2E1E"/>
    <w:rsid w:val="00CF2E7A"/>
    <w:rsid w:val="00CF37E2"/>
    <w:rsid w:val="00CF41AE"/>
    <w:rsid w:val="00CF49E1"/>
    <w:rsid w:val="00CF4D5A"/>
    <w:rsid w:val="00CF4F98"/>
    <w:rsid w:val="00CF5038"/>
    <w:rsid w:val="00CF523F"/>
    <w:rsid w:val="00CF6531"/>
    <w:rsid w:val="00CF697A"/>
    <w:rsid w:val="00CF69E6"/>
    <w:rsid w:val="00CF6A5F"/>
    <w:rsid w:val="00CF6D69"/>
    <w:rsid w:val="00CF737E"/>
    <w:rsid w:val="00CF79DC"/>
    <w:rsid w:val="00D00061"/>
    <w:rsid w:val="00D00114"/>
    <w:rsid w:val="00D00148"/>
    <w:rsid w:val="00D01043"/>
    <w:rsid w:val="00D015C2"/>
    <w:rsid w:val="00D015E9"/>
    <w:rsid w:val="00D018A7"/>
    <w:rsid w:val="00D02977"/>
    <w:rsid w:val="00D02A10"/>
    <w:rsid w:val="00D037E6"/>
    <w:rsid w:val="00D04051"/>
    <w:rsid w:val="00D04744"/>
    <w:rsid w:val="00D04B5F"/>
    <w:rsid w:val="00D04FCA"/>
    <w:rsid w:val="00D072AB"/>
    <w:rsid w:val="00D0748F"/>
    <w:rsid w:val="00D07512"/>
    <w:rsid w:val="00D075F6"/>
    <w:rsid w:val="00D0774C"/>
    <w:rsid w:val="00D079D5"/>
    <w:rsid w:val="00D07B24"/>
    <w:rsid w:val="00D07B37"/>
    <w:rsid w:val="00D07DC4"/>
    <w:rsid w:val="00D100CD"/>
    <w:rsid w:val="00D105EF"/>
    <w:rsid w:val="00D10C02"/>
    <w:rsid w:val="00D10F44"/>
    <w:rsid w:val="00D11F25"/>
    <w:rsid w:val="00D12241"/>
    <w:rsid w:val="00D12830"/>
    <w:rsid w:val="00D12994"/>
    <w:rsid w:val="00D131C6"/>
    <w:rsid w:val="00D137C0"/>
    <w:rsid w:val="00D13AB1"/>
    <w:rsid w:val="00D14603"/>
    <w:rsid w:val="00D15C48"/>
    <w:rsid w:val="00D15EE4"/>
    <w:rsid w:val="00D1705D"/>
    <w:rsid w:val="00D1798C"/>
    <w:rsid w:val="00D207E6"/>
    <w:rsid w:val="00D20860"/>
    <w:rsid w:val="00D20968"/>
    <w:rsid w:val="00D20A7D"/>
    <w:rsid w:val="00D20AAE"/>
    <w:rsid w:val="00D20D27"/>
    <w:rsid w:val="00D21E81"/>
    <w:rsid w:val="00D22078"/>
    <w:rsid w:val="00D22281"/>
    <w:rsid w:val="00D224E9"/>
    <w:rsid w:val="00D228F7"/>
    <w:rsid w:val="00D22A3B"/>
    <w:rsid w:val="00D22DA3"/>
    <w:rsid w:val="00D22FD3"/>
    <w:rsid w:val="00D22FDE"/>
    <w:rsid w:val="00D237B8"/>
    <w:rsid w:val="00D2390C"/>
    <w:rsid w:val="00D23BFC"/>
    <w:rsid w:val="00D2438F"/>
    <w:rsid w:val="00D24703"/>
    <w:rsid w:val="00D24F4B"/>
    <w:rsid w:val="00D254F1"/>
    <w:rsid w:val="00D261E3"/>
    <w:rsid w:val="00D265AA"/>
    <w:rsid w:val="00D268B0"/>
    <w:rsid w:val="00D2690B"/>
    <w:rsid w:val="00D27633"/>
    <w:rsid w:val="00D3012A"/>
    <w:rsid w:val="00D30A7A"/>
    <w:rsid w:val="00D31CC2"/>
    <w:rsid w:val="00D31F00"/>
    <w:rsid w:val="00D32ABD"/>
    <w:rsid w:val="00D32BC9"/>
    <w:rsid w:val="00D32D6A"/>
    <w:rsid w:val="00D32FCB"/>
    <w:rsid w:val="00D334EB"/>
    <w:rsid w:val="00D33914"/>
    <w:rsid w:val="00D33F76"/>
    <w:rsid w:val="00D34937"/>
    <w:rsid w:val="00D359F3"/>
    <w:rsid w:val="00D35C02"/>
    <w:rsid w:val="00D36631"/>
    <w:rsid w:val="00D36C44"/>
    <w:rsid w:val="00D4029D"/>
    <w:rsid w:val="00D40AEC"/>
    <w:rsid w:val="00D40CAE"/>
    <w:rsid w:val="00D4128C"/>
    <w:rsid w:val="00D41506"/>
    <w:rsid w:val="00D4238D"/>
    <w:rsid w:val="00D435DC"/>
    <w:rsid w:val="00D43B0C"/>
    <w:rsid w:val="00D43D10"/>
    <w:rsid w:val="00D43D6A"/>
    <w:rsid w:val="00D44203"/>
    <w:rsid w:val="00D44CD8"/>
    <w:rsid w:val="00D45250"/>
    <w:rsid w:val="00D4551C"/>
    <w:rsid w:val="00D45BA8"/>
    <w:rsid w:val="00D45FF9"/>
    <w:rsid w:val="00D4620B"/>
    <w:rsid w:val="00D46DE7"/>
    <w:rsid w:val="00D46F4E"/>
    <w:rsid w:val="00D47099"/>
    <w:rsid w:val="00D470A2"/>
    <w:rsid w:val="00D4725E"/>
    <w:rsid w:val="00D47318"/>
    <w:rsid w:val="00D4745C"/>
    <w:rsid w:val="00D505B1"/>
    <w:rsid w:val="00D50EDD"/>
    <w:rsid w:val="00D5142D"/>
    <w:rsid w:val="00D51CFB"/>
    <w:rsid w:val="00D52357"/>
    <w:rsid w:val="00D525AB"/>
    <w:rsid w:val="00D529B7"/>
    <w:rsid w:val="00D5305D"/>
    <w:rsid w:val="00D5306D"/>
    <w:rsid w:val="00D552BD"/>
    <w:rsid w:val="00D558C8"/>
    <w:rsid w:val="00D55F4F"/>
    <w:rsid w:val="00D56182"/>
    <w:rsid w:val="00D56253"/>
    <w:rsid w:val="00D56296"/>
    <w:rsid w:val="00D562F0"/>
    <w:rsid w:val="00D56355"/>
    <w:rsid w:val="00D56566"/>
    <w:rsid w:val="00D56B98"/>
    <w:rsid w:val="00D57518"/>
    <w:rsid w:val="00D57A91"/>
    <w:rsid w:val="00D60868"/>
    <w:rsid w:val="00D6118A"/>
    <w:rsid w:val="00D611F3"/>
    <w:rsid w:val="00D6127D"/>
    <w:rsid w:val="00D617F9"/>
    <w:rsid w:val="00D62332"/>
    <w:rsid w:val="00D625C5"/>
    <w:rsid w:val="00D62AF9"/>
    <w:rsid w:val="00D63014"/>
    <w:rsid w:val="00D631BE"/>
    <w:rsid w:val="00D64941"/>
    <w:rsid w:val="00D649D8"/>
    <w:rsid w:val="00D658A8"/>
    <w:rsid w:val="00D65CA1"/>
    <w:rsid w:val="00D6619E"/>
    <w:rsid w:val="00D663A9"/>
    <w:rsid w:val="00D66960"/>
    <w:rsid w:val="00D67297"/>
    <w:rsid w:val="00D67694"/>
    <w:rsid w:val="00D70226"/>
    <w:rsid w:val="00D70636"/>
    <w:rsid w:val="00D71BD2"/>
    <w:rsid w:val="00D71F46"/>
    <w:rsid w:val="00D71F5C"/>
    <w:rsid w:val="00D7230D"/>
    <w:rsid w:val="00D723FC"/>
    <w:rsid w:val="00D726D6"/>
    <w:rsid w:val="00D72A89"/>
    <w:rsid w:val="00D72EB9"/>
    <w:rsid w:val="00D7313D"/>
    <w:rsid w:val="00D73353"/>
    <w:rsid w:val="00D73DD3"/>
    <w:rsid w:val="00D74086"/>
    <w:rsid w:val="00D74824"/>
    <w:rsid w:val="00D74FCA"/>
    <w:rsid w:val="00D757EE"/>
    <w:rsid w:val="00D75C30"/>
    <w:rsid w:val="00D7679C"/>
    <w:rsid w:val="00D76B1D"/>
    <w:rsid w:val="00D76C34"/>
    <w:rsid w:val="00D774E8"/>
    <w:rsid w:val="00D801BE"/>
    <w:rsid w:val="00D809CF"/>
    <w:rsid w:val="00D80AF7"/>
    <w:rsid w:val="00D8154A"/>
    <w:rsid w:val="00D81937"/>
    <w:rsid w:val="00D81C77"/>
    <w:rsid w:val="00D825E6"/>
    <w:rsid w:val="00D82890"/>
    <w:rsid w:val="00D837D4"/>
    <w:rsid w:val="00D83D76"/>
    <w:rsid w:val="00D83E8F"/>
    <w:rsid w:val="00D8404C"/>
    <w:rsid w:val="00D841CA"/>
    <w:rsid w:val="00D84292"/>
    <w:rsid w:val="00D84912"/>
    <w:rsid w:val="00D85261"/>
    <w:rsid w:val="00D858D2"/>
    <w:rsid w:val="00D85A4A"/>
    <w:rsid w:val="00D86A55"/>
    <w:rsid w:val="00D87649"/>
    <w:rsid w:val="00D87870"/>
    <w:rsid w:val="00D90053"/>
    <w:rsid w:val="00D901EC"/>
    <w:rsid w:val="00D904DF"/>
    <w:rsid w:val="00D90851"/>
    <w:rsid w:val="00D90A21"/>
    <w:rsid w:val="00D90F33"/>
    <w:rsid w:val="00D91046"/>
    <w:rsid w:val="00D911B5"/>
    <w:rsid w:val="00D911C5"/>
    <w:rsid w:val="00D9129D"/>
    <w:rsid w:val="00D9181E"/>
    <w:rsid w:val="00D919B9"/>
    <w:rsid w:val="00D91F53"/>
    <w:rsid w:val="00D933CE"/>
    <w:rsid w:val="00D93595"/>
    <w:rsid w:val="00D94130"/>
    <w:rsid w:val="00D952AF"/>
    <w:rsid w:val="00D957F6"/>
    <w:rsid w:val="00D95D20"/>
    <w:rsid w:val="00D963BE"/>
    <w:rsid w:val="00D96CCD"/>
    <w:rsid w:val="00D974C5"/>
    <w:rsid w:val="00D977E8"/>
    <w:rsid w:val="00D97949"/>
    <w:rsid w:val="00D97B3C"/>
    <w:rsid w:val="00D97F74"/>
    <w:rsid w:val="00DA0760"/>
    <w:rsid w:val="00DA158E"/>
    <w:rsid w:val="00DA1B86"/>
    <w:rsid w:val="00DA2B84"/>
    <w:rsid w:val="00DA2B9A"/>
    <w:rsid w:val="00DA3238"/>
    <w:rsid w:val="00DA3ACD"/>
    <w:rsid w:val="00DA3ED6"/>
    <w:rsid w:val="00DA4100"/>
    <w:rsid w:val="00DA4B2F"/>
    <w:rsid w:val="00DA51F2"/>
    <w:rsid w:val="00DA5204"/>
    <w:rsid w:val="00DA621C"/>
    <w:rsid w:val="00DA63DC"/>
    <w:rsid w:val="00DA6880"/>
    <w:rsid w:val="00DA6C97"/>
    <w:rsid w:val="00DA7A50"/>
    <w:rsid w:val="00DB0083"/>
    <w:rsid w:val="00DB039B"/>
    <w:rsid w:val="00DB05E2"/>
    <w:rsid w:val="00DB0D0B"/>
    <w:rsid w:val="00DB21F7"/>
    <w:rsid w:val="00DB246B"/>
    <w:rsid w:val="00DB26C0"/>
    <w:rsid w:val="00DB3B24"/>
    <w:rsid w:val="00DB4B80"/>
    <w:rsid w:val="00DB5306"/>
    <w:rsid w:val="00DB57FA"/>
    <w:rsid w:val="00DB6059"/>
    <w:rsid w:val="00DB6167"/>
    <w:rsid w:val="00DB64C7"/>
    <w:rsid w:val="00DB6687"/>
    <w:rsid w:val="00DB6FDB"/>
    <w:rsid w:val="00DB703D"/>
    <w:rsid w:val="00DB7347"/>
    <w:rsid w:val="00DB74A8"/>
    <w:rsid w:val="00DB773D"/>
    <w:rsid w:val="00DC0149"/>
    <w:rsid w:val="00DC0817"/>
    <w:rsid w:val="00DC11E1"/>
    <w:rsid w:val="00DC1B2C"/>
    <w:rsid w:val="00DC2197"/>
    <w:rsid w:val="00DC2411"/>
    <w:rsid w:val="00DC2767"/>
    <w:rsid w:val="00DC27DA"/>
    <w:rsid w:val="00DC286B"/>
    <w:rsid w:val="00DC3381"/>
    <w:rsid w:val="00DC3F19"/>
    <w:rsid w:val="00DC4858"/>
    <w:rsid w:val="00DC4A7F"/>
    <w:rsid w:val="00DC4E01"/>
    <w:rsid w:val="00DC545D"/>
    <w:rsid w:val="00DC58AC"/>
    <w:rsid w:val="00DC605D"/>
    <w:rsid w:val="00DC7244"/>
    <w:rsid w:val="00DC74DE"/>
    <w:rsid w:val="00DC7842"/>
    <w:rsid w:val="00DD0949"/>
    <w:rsid w:val="00DD0972"/>
    <w:rsid w:val="00DD0E63"/>
    <w:rsid w:val="00DD11F7"/>
    <w:rsid w:val="00DD1272"/>
    <w:rsid w:val="00DD1729"/>
    <w:rsid w:val="00DD242F"/>
    <w:rsid w:val="00DD29D8"/>
    <w:rsid w:val="00DD2F75"/>
    <w:rsid w:val="00DD3894"/>
    <w:rsid w:val="00DD3BC8"/>
    <w:rsid w:val="00DD3D2E"/>
    <w:rsid w:val="00DD3F31"/>
    <w:rsid w:val="00DD440C"/>
    <w:rsid w:val="00DD4C27"/>
    <w:rsid w:val="00DD51BC"/>
    <w:rsid w:val="00DD5798"/>
    <w:rsid w:val="00DD57D6"/>
    <w:rsid w:val="00DD596E"/>
    <w:rsid w:val="00DD67EC"/>
    <w:rsid w:val="00DD6BB4"/>
    <w:rsid w:val="00DD6BF3"/>
    <w:rsid w:val="00DD76B8"/>
    <w:rsid w:val="00DD7E74"/>
    <w:rsid w:val="00DE0311"/>
    <w:rsid w:val="00DE0DAC"/>
    <w:rsid w:val="00DE1193"/>
    <w:rsid w:val="00DE17A4"/>
    <w:rsid w:val="00DE2077"/>
    <w:rsid w:val="00DE21A9"/>
    <w:rsid w:val="00DE28F9"/>
    <w:rsid w:val="00DE2D62"/>
    <w:rsid w:val="00DE3103"/>
    <w:rsid w:val="00DE3F0A"/>
    <w:rsid w:val="00DE40F2"/>
    <w:rsid w:val="00DE49E9"/>
    <w:rsid w:val="00DE4D0B"/>
    <w:rsid w:val="00DE5E69"/>
    <w:rsid w:val="00DE6260"/>
    <w:rsid w:val="00DE6E7B"/>
    <w:rsid w:val="00DE70EC"/>
    <w:rsid w:val="00DE726F"/>
    <w:rsid w:val="00DE7DD5"/>
    <w:rsid w:val="00DF0170"/>
    <w:rsid w:val="00DF0461"/>
    <w:rsid w:val="00DF05CC"/>
    <w:rsid w:val="00DF0743"/>
    <w:rsid w:val="00DF174B"/>
    <w:rsid w:val="00DF212E"/>
    <w:rsid w:val="00DF21A6"/>
    <w:rsid w:val="00DF220E"/>
    <w:rsid w:val="00DF270A"/>
    <w:rsid w:val="00DF2A1E"/>
    <w:rsid w:val="00DF3381"/>
    <w:rsid w:val="00DF451B"/>
    <w:rsid w:val="00DF46FD"/>
    <w:rsid w:val="00DF4D2E"/>
    <w:rsid w:val="00DF52F5"/>
    <w:rsid w:val="00DF5479"/>
    <w:rsid w:val="00DF5F00"/>
    <w:rsid w:val="00DF7440"/>
    <w:rsid w:val="00DF7FF3"/>
    <w:rsid w:val="00E00051"/>
    <w:rsid w:val="00E00CA4"/>
    <w:rsid w:val="00E0111E"/>
    <w:rsid w:val="00E03B3B"/>
    <w:rsid w:val="00E04336"/>
    <w:rsid w:val="00E047A1"/>
    <w:rsid w:val="00E04850"/>
    <w:rsid w:val="00E04B82"/>
    <w:rsid w:val="00E04EE4"/>
    <w:rsid w:val="00E057E4"/>
    <w:rsid w:val="00E05DC0"/>
    <w:rsid w:val="00E05E41"/>
    <w:rsid w:val="00E05E9D"/>
    <w:rsid w:val="00E05FED"/>
    <w:rsid w:val="00E061C9"/>
    <w:rsid w:val="00E06929"/>
    <w:rsid w:val="00E07A20"/>
    <w:rsid w:val="00E10B2F"/>
    <w:rsid w:val="00E10C30"/>
    <w:rsid w:val="00E11484"/>
    <w:rsid w:val="00E11A38"/>
    <w:rsid w:val="00E11F36"/>
    <w:rsid w:val="00E12225"/>
    <w:rsid w:val="00E1226C"/>
    <w:rsid w:val="00E122E0"/>
    <w:rsid w:val="00E1276D"/>
    <w:rsid w:val="00E130D7"/>
    <w:rsid w:val="00E1357B"/>
    <w:rsid w:val="00E13970"/>
    <w:rsid w:val="00E13E1C"/>
    <w:rsid w:val="00E14081"/>
    <w:rsid w:val="00E140A9"/>
    <w:rsid w:val="00E1493B"/>
    <w:rsid w:val="00E15569"/>
    <w:rsid w:val="00E15AEA"/>
    <w:rsid w:val="00E15DA4"/>
    <w:rsid w:val="00E15DD3"/>
    <w:rsid w:val="00E16069"/>
    <w:rsid w:val="00E16353"/>
    <w:rsid w:val="00E1740D"/>
    <w:rsid w:val="00E20D9B"/>
    <w:rsid w:val="00E21382"/>
    <w:rsid w:val="00E214B2"/>
    <w:rsid w:val="00E21536"/>
    <w:rsid w:val="00E21AC8"/>
    <w:rsid w:val="00E21B7E"/>
    <w:rsid w:val="00E21E82"/>
    <w:rsid w:val="00E224C1"/>
    <w:rsid w:val="00E22975"/>
    <w:rsid w:val="00E23B40"/>
    <w:rsid w:val="00E23F3B"/>
    <w:rsid w:val="00E240AB"/>
    <w:rsid w:val="00E24803"/>
    <w:rsid w:val="00E24AA5"/>
    <w:rsid w:val="00E253D0"/>
    <w:rsid w:val="00E25681"/>
    <w:rsid w:val="00E256E9"/>
    <w:rsid w:val="00E25CFD"/>
    <w:rsid w:val="00E26541"/>
    <w:rsid w:val="00E2724E"/>
    <w:rsid w:val="00E275F9"/>
    <w:rsid w:val="00E27B45"/>
    <w:rsid w:val="00E30024"/>
    <w:rsid w:val="00E3066F"/>
    <w:rsid w:val="00E31181"/>
    <w:rsid w:val="00E31A92"/>
    <w:rsid w:val="00E31F4F"/>
    <w:rsid w:val="00E32113"/>
    <w:rsid w:val="00E321EF"/>
    <w:rsid w:val="00E3222D"/>
    <w:rsid w:val="00E327AC"/>
    <w:rsid w:val="00E32B62"/>
    <w:rsid w:val="00E32E2E"/>
    <w:rsid w:val="00E33B49"/>
    <w:rsid w:val="00E34A00"/>
    <w:rsid w:val="00E34C05"/>
    <w:rsid w:val="00E355D3"/>
    <w:rsid w:val="00E36519"/>
    <w:rsid w:val="00E3693F"/>
    <w:rsid w:val="00E36E2D"/>
    <w:rsid w:val="00E372DC"/>
    <w:rsid w:val="00E3731D"/>
    <w:rsid w:val="00E40452"/>
    <w:rsid w:val="00E407EC"/>
    <w:rsid w:val="00E40EE5"/>
    <w:rsid w:val="00E4248D"/>
    <w:rsid w:val="00E426E0"/>
    <w:rsid w:val="00E42902"/>
    <w:rsid w:val="00E42CD7"/>
    <w:rsid w:val="00E42EE1"/>
    <w:rsid w:val="00E435C3"/>
    <w:rsid w:val="00E4507E"/>
    <w:rsid w:val="00E453C9"/>
    <w:rsid w:val="00E46023"/>
    <w:rsid w:val="00E46A68"/>
    <w:rsid w:val="00E47496"/>
    <w:rsid w:val="00E4763E"/>
    <w:rsid w:val="00E476B6"/>
    <w:rsid w:val="00E47D74"/>
    <w:rsid w:val="00E47E30"/>
    <w:rsid w:val="00E50BFA"/>
    <w:rsid w:val="00E510CC"/>
    <w:rsid w:val="00E5162D"/>
    <w:rsid w:val="00E520FB"/>
    <w:rsid w:val="00E52B48"/>
    <w:rsid w:val="00E52B5F"/>
    <w:rsid w:val="00E5349E"/>
    <w:rsid w:val="00E5362C"/>
    <w:rsid w:val="00E53D1D"/>
    <w:rsid w:val="00E53E4E"/>
    <w:rsid w:val="00E54C5A"/>
    <w:rsid w:val="00E555D7"/>
    <w:rsid w:val="00E55736"/>
    <w:rsid w:val="00E55A9A"/>
    <w:rsid w:val="00E55B1A"/>
    <w:rsid w:val="00E55E3C"/>
    <w:rsid w:val="00E566C2"/>
    <w:rsid w:val="00E568E9"/>
    <w:rsid w:val="00E56A1A"/>
    <w:rsid w:val="00E56E0C"/>
    <w:rsid w:val="00E603A3"/>
    <w:rsid w:val="00E60B94"/>
    <w:rsid w:val="00E60C61"/>
    <w:rsid w:val="00E6118B"/>
    <w:rsid w:val="00E61762"/>
    <w:rsid w:val="00E6189E"/>
    <w:rsid w:val="00E61966"/>
    <w:rsid w:val="00E62132"/>
    <w:rsid w:val="00E625CA"/>
    <w:rsid w:val="00E62872"/>
    <w:rsid w:val="00E63725"/>
    <w:rsid w:val="00E63DCB"/>
    <w:rsid w:val="00E64900"/>
    <w:rsid w:val="00E64953"/>
    <w:rsid w:val="00E65046"/>
    <w:rsid w:val="00E666E7"/>
    <w:rsid w:val="00E66A13"/>
    <w:rsid w:val="00E66A64"/>
    <w:rsid w:val="00E66D9A"/>
    <w:rsid w:val="00E66F31"/>
    <w:rsid w:val="00E671FE"/>
    <w:rsid w:val="00E67CEF"/>
    <w:rsid w:val="00E700EA"/>
    <w:rsid w:val="00E706A4"/>
    <w:rsid w:val="00E708F0"/>
    <w:rsid w:val="00E70A16"/>
    <w:rsid w:val="00E70B22"/>
    <w:rsid w:val="00E72185"/>
    <w:rsid w:val="00E72DE4"/>
    <w:rsid w:val="00E72FDD"/>
    <w:rsid w:val="00E73015"/>
    <w:rsid w:val="00E73028"/>
    <w:rsid w:val="00E7338A"/>
    <w:rsid w:val="00E73A89"/>
    <w:rsid w:val="00E73ECD"/>
    <w:rsid w:val="00E73FF1"/>
    <w:rsid w:val="00E74401"/>
    <w:rsid w:val="00E745E3"/>
    <w:rsid w:val="00E74AC9"/>
    <w:rsid w:val="00E74CBB"/>
    <w:rsid w:val="00E74E3C"/>
    <w:rsid w:val="00E74FAB"/>
    <w:rsid w:val="00E7556C"/>
    <w:rsid w:val="00E75641"/>
    <w:rsid w:val="00E759FC"/>
    <w:rsid w:val="00E75C3C"/>
    <w:rsid w:val="00E75F13"/>
    <w:rsid w:val="00E7639B"/>
    <w:rsid w:val="00E77071"/>
    <w:rsid w:val="00E778C3"/>
    <w:rsid w:val="00E80238"/>
    <w:rsid w:val="00E805C5"/>
    <w:rsid w:val="00E81936"/>
    <w:rsid w:val="00E81A99"/>
    <w:rsid w:val="00E82214"/>
    <w:rsid w:val="00E82651"/>
    <w:rsid w:val="00E8287B"/>
    <w:rsid w:val="00E828A5"/>
    <w:rsid w:val="00E82DA8"/>
    <w:rsid w:val="00E82F12"/>
    <w:rsid w:val="00E837F7"/>
    <w:rsid w:val="00E83802"/>
    <w:rsid w:val="00E838FD"/>
    <w:rsid w:val="00E84088"/>
    <w:rsid w:val="00E840E0"/>
    <w:rsid w:val="00E84730"/>
    <w:rsid w:val="00E84B41"/>
    <w:rsid w:val="00E84C43"/>
    <w:rsid w:val="00E859DC"/>
    <w:rsid w:val="00E85B2C"/>
    <w:rsid w:val="00E86A76"/>
    <w:rsid w:val="00E87C8E"/>
    <w:rsid w:val="00E9032A"/>
    <w:rsid w:val="00E904FA"/>
    <w:rsid w:val="00E90921"/>
    <w:rsid w:val="00E913A0"/>
    <w:rsid w:val="00E915E5"/>
    <w:rsid w:val="00E91A10"/>
    <w:rsid w:val="00E91BC2"/>
    <w:rsid w:val="00E920F9"/>
    <w:rsid w:val="00E92A07"/>
    <w:rsid w:val="00E92BFC"/>
    <w:rsid w:val="00E9314E"/>
    <w:rsid w:val="00E9381D"/>
    <w:rsid w:val="00E93B96"/>
    <w:rsid w:val="00E93E2E"/>
    <w:rsid w:val="00E9434B"/>
    <w:rsid w:val="00E945AC"/>
    <w:rsid w:val="00E94C4E"/>
    <w:rsid w:val="00E94D40"/>
    <w:rsid w:val="00E94DAF"/>
    <w:rsid w:val="00E95599"/>
    <w:rsid w:val="00E9569A"/>
    <w:rsid w:val="00E95802"/>
    <w:rsid w:val="00E95876"/>
    <w:rsid w:val="00E960A8"/>
    <w:rsid w:val="00E96EAA"/>
    <w:rsid w:val="00E971F9"/>
    <w:rsid w:val="00E973B2"/>
    <w:rsid w:val="00E974D5"/>
    <w:rsid w:val="00E97543"/>
    <w:rsid w:val="00E9797A"/>
    <w:rsid w:val="00E97A58"/>
    <w:rsid w:val="00E97B0D"/>
    <w:rsid w:val="00EA0AD8"/>
    <w:rsid w:val="00EA2648"/>
    <w:rsid w:val="00EA270C"/>
    <w:rsid w:val="00EA2E5D"/>
    <w:rsid w:val="00EA2FCF"/>
    <w:rsid w:val="00EA33AA"/>
    <w:rsid w:val="00EA3543"/>
    <w:rsid w:val="00EA415B"/>
    <w:rsid w:val="00EA46B9"/>
    <w:rsid w:val="00EA49EF"/>
    <w:rsid w:val="00EA4E08"/>
    <w:rsid w:val="00EA4F13"/>
    <w:rsid w:val="00EA5664"/>
    <w:rsid w:val="00EA6392"/>
    <w:rsid w:val="00EA65DC"/>
    <w:rsid w:val="00EA6FA3"/>
    <w:rsid w:val="00EA79DD"/>
    <w:rsid w:val="00EA7B12"/>
    <w:rsid w:val="00EA7D15"/>
    <w:rsid w:val="00EB0305"/>
    <w:rsid w:val="00EB0A59"/>
    <w:rsid w:val="00EB0E1C"/>
    <w:rsid w:val="00EB0E54"/>
    <w:rsid w:val="00EB167C"/>
    <w:rsid w:val="00EB19F1"/>
    <w:rsid w:val="00EB236B"/>
    <w:rsid w:val="00EB23F3"/>
    <w:rsid w:val="00EB2F5B"/>
    <w:rsid w:val="00EB5369"/>
    <w:rsid w:val="00EB5ABB"/>
    <w:rsid w:val="00EB5D9A"/>
    <w:rsid w:val="00EB641B"/>
    <w:rsid w:val="00EB6AE5"/>
    <w:rsid w:val="00EB7CA2"/>
    <w:rsid w:val="00EB7F00"/>
    <w:rsid w:val="00EC07A6"/>
    <w:rsid w:val="00EC0900"/>
    <w:rsid w:val="00EC0927"/>
    <w:rsid w:val="00EC0A2D"/>
    <w:rsid w:val="00EC0B24"/>
    <w:rsid w:val="00EC0FAF"/>
    <w:rsid w:val="00EC10E5"/>
    <w:rsid w:val="00EC1300"/>
    <w:rsid w:val="00EC1C1D"/>
    <w:rsid w:val="00EC2A93"/>
    <w:rsid w:val="00EC3B30"/>
    <w:rsid w:val="00EC3CDA"/>
    <w:rsid w:val="00EC4059"/>
    <w:rsid w:val="00EC5A99"/>
    <w:rsid w:val="00EC7D89"/>
    <w:rsid w:val="00ED0A27"/>
    <w:rsid w:val="00ED0C7B"/>
    <w:rsid w:val="00ED140E"/>
    <w:rsid w:val="00ED18BE"/>
    <w:rsid w:val="00ED1A3A"/>
    <w:rsid w:val="00ED2C1F"/>
    <w:rsid w:val="00ED43FA"/>
    <w:rsid w:val="00ED554D"/>
    <w:rsid w:val="00ED5887"/>
    <w:rsid w:val="00ED5B20"/>
    <w:rsid w:val="00ED619B"/>
    <w:rsid w:val="00ED6518"/>
    <w:rsid w:val="00ED6AE9"/>
    <w:rsid w:val="00ED720D"/>
    <w:rsid w:val="00ED7C38"/>
    <w:rsid w:val="00EE13B5"/>
    <w:rsid w:val="00EE1410"/>
    <w:rsid w:val="00EE1C35"/>
    <w:rsid w:val="00EE261E"/>
    <w:rsid w:val="00EE2A8B"/>
    <w:rsid w:val="00EE3190"/>
    <w:rsid w:val="00EE3DD9"/>
    <w:rsid w:val="00EE3F17"/>
    <w:rsid w:val="00EE4226"/>
    <w:rsid w:val="00EE428E"/>
    <w:rsid w:val="00EE45A7"/>
    <w:rsid w:val="00EE4F62"/>
    <w:rsid w:val="00EE55F9"/>
    <w:rsid w:val="00EE5D1A"/>
    <w:rsid w:val="00EE5ECC"/>
    <w:rsid w:val="00EE6672"/>
    <w:rsid w:val="00EE6B10"/>
    <w:rsid w:val="00EE6C71"/>
    <w:rsid w:val="00EE770D"/>
    <w:rsid w:val="00EF063A"/>
    <w:rsid w:val="00EF0E7F"/>
    <w:rsid w:val="00EF0FC4"/>
    <w:rsid w:val="00EF103E"/>
    <w:rsid w:val="00EF1A4F"/>
    <w:rsid w:val="00EF1FAB"/>
    <w:rsid w:val="00EF2CD4"/>
    <w:rsid w:val="00EF35A5"/>
    <w:rsid w:val="00EF3B0B"/>
    <w:rsid w:val="00EF467C"/>
    <w:rsid w:val="00EF493C"/>
    <w:rsid w:val="00EF4A59"/>
    <w:rsid w:val="00EF4A7B"/>
    <w:rsid w:val="00EF5214"/>
    <w:rsid w:val="00EF560B"/>
    <w:rsid w:val="00EF56C1"/>
    <w:rsid w:val="00EF5E25"/>
    <w:rsid w:val="00EF6069"/>
    <w:rsid w:val="00EF65FC"/>
    <w:rsid w:val="00EF6A74"/>
    <w:rsid w:val="00F00056"/>
    <w:rsid w:val="00F0060F"/>
    <w:rsid w:val="00F00CFD"/>
    <w:rsid w:val="00F026AD"/>
    <w:rsid w:val="00F02942"/>
    <w:rsid w:val="00F02B3F"/>
    <w:rsid w:val="00F02BBA"/>
    <w:rsid w:val="00F04F1C"/>
    <w:rsid w:val="00F07F07"/>
    <w:rsid w:val="00F07F5B"/>
    <w:rsid w:val="00F102B2"/>
    <w:rsid w:val="00F11310"/>
    <w:rsid w:val="00F1295F"/>
    <w:rsid w:val="00F13264"/>
    <w:rsid w:val="00F1329F"/>
    <w:rsid w:val="00F13A54"/>
    <w:rsid w:val="00F13AAC"/>
    <w:rsid w:val="00F13F01"/>
    <w:rsid w:val="00F15CCD"/>
    <w:rsid w:val="00F15FA8"/>
    <w:rsid w:val="00F17301"/>
    <w:rsid w:val="00F174FD"/>
    <w:rsid w:val="00F17B81"/>
    <w:rsid w:val="00F17D6F"/>
    <w:rsid w:val="00F20042"/>
    <w:rsid w:val="00F20C43"/>
    <w:rsid w:val="00F20DC1"/>
    <w:rsid w:val="00F217BC"/>
    <w:rsid w:val="00F21D1F"/>
    <w:rsid w:val="00F21D58"/>
    <w:rsid w:val="00F22290"/>
    <w:rsid w:val="00F2238A"/>
    <w:rsid w:val="00F22470"/>
    <w:rsid w:val="00F22891"/>
    <w:rsid w:val="00F22C27"/>
    <w:rsid w:val="00F24B5E"/>
    <w:rsid w:val="00F24C6D"/>
    <w:rsid w:val="00F24E49"/>
    <w:rsid w:val="00F26359"/>
    <w:rsid w:val="00F26D34"/>
    <w:rsid w:val="00F27A1B"/>
    <w:rsid w:val="00F27D9F"/>
    <w:rsid w:val="00F3052C"/>
    <w:rsid w:val="00F30631"/>
    <w:rsid w:val="00F3095D"/>
    <w:rsid w:val="00F30A2A"/>
    <w:rsid w:val="00F317F5"/>
    <w:rsid w:val="00F319D5"/>
    <w:rsid w:val="00F31AA3"/>
    <w:rsid w:val="00F31F29"/>
    <w:rsid w:val="00F32964"/>
    <w:rsid w:val="00F32F6A"/>
    <w:rsid w:val="00F32F8C"/>
    <w:rsid w:val="00F33176"/>
    <w:rsid w:val="00F3396C"/>
    <w:rsid w:val="00F33A59"/>
    <w:rsid w:val="00F33A8E"/>
    <w:rsid w:val="00F34251"/>
    <w:rsid w:val="00F3431B"/>
    <w:rsid w:val="00F3439A"/>
    <w:rsid w:val="00F3470E"/>
    <w:rsid w:val="00F34C34"/>
    <w:rsid w:val="00F34CAF"/>
    <w:rsid w:val="00F35639"/>
    <w:rsid w:val="00F36C80"/>
    <w:rsid w:val="00F378EA"/>
    <w:rsid w:val="00F37B98"/>
    <w:rsid w:val="00F37BE8"/>
    <w:rsid w:val="00F404C0"/>
    <w:rsid w:val="00F408C3"/>
    <w:rsid w:val="00F40DA8"/>
    <w:rsid w:val="00F4157D"/>
    <w:rsid w:val="00F41931"/>
    <w:rsid w:val="00F41C14"/>
    <w:rsid w:val="00F420F6"/>
    <w:rsid w:val="00F425AD"/>
    <w:rsid w:val="00F4295C"/>
    <w:rsid w:val="00F4299F"/>
    <w:rsid w:val="00F42B1A"/>
    <w:rsid w:val="00F43E44"/>
    <w:rsid w:val="00F440CF"/>
    <w:rsid w:val="00F456FF"/>
    <w:rsid w:val="00F457EE"/>
    <w:rsid w:val="00F458E1"/>
    <w:rsid w:val="00F464F9"/>
    <w:rsid w:val="00F47950"/>
    <w:rsid w:val="00F47B5C"/>
    <w:rsid w:val="00F50308"/>
    <w:rsid w:val="00F51619"/>
    <w:rsid w:val="00F5198E"/>
    <w:rsid w:val="00F520EE"/>
    <w:rsid w:val="00F52257"/>
    <w:rsid w:val="00F52787"/>
    <w:rsid w:val="00F52955"/>
    <w:rsid w:val="00F52B23"/>
    <w:rsid w:val="00F53281"/>
    <w:rsid w:val="00F534ED"/>
    <w:rsid w:val="00F551E7"/>
    <w:rsid w:val="00F5554D"/>
    <w:rsid w:val="00F55725"/>
    <w:rsid w:val="00F55F16"/>
    <w:rsid w:val="00F5620B"/>
    <w:rsid w:val="00F564FD"/>
    <w:rsid w:val="00F56AE2"/>
    <w:rsid w:val="00F56F8E"/>
    <w:rsid w:val="00F57709"/>
    <w:rsid w:val="00F578C7"/>
    <w:rsid w:val="00F579CF"/>
    <w:rsid w:val="00F57E0A"/>
    <w:rsid w:val="00F6063A"/>
    <w:rsid w:val="00F60D72"/>
    <w:rsid w:val="00F61581"/>
    <w:rsid w:val="00F61933"/>
    <w:rsid w:val="00F63592"/>
    <w:rsid w:val="00F63757"/>
    <w:rsid w:val="00F649D7"/>
    <w:rsid w:val="00F65375"/>
    <w:rsid w:val="00F655BF"/>
    <w:rsid w:val="00F65933"/>
    <w:rsid w:val="00F660C2"/>
    <w:rsid w:val="00F664E9"/>
    <w:rsid w:val="00F66503"/>
    <w:rsid w:val="00F66736"/>
    <w:rsid w:val="00F66F85"/>
    <w:rsid w:val="00F67C30"/>
    <w:rsid w:val="00F70495"/>
    <w:rsid w:val="00F709D9"/>
    <w:rsid w:val="00F709FC"/>
    <w:rsid w:val="00F70F29"/>
    <w:rsid w:val="00F73076"/>
    <w:rsid w:val="00F7410C"/>
    <w:rsid w:val="00F74884"/>
    <w:rsid w:val="00F748BA"/>
    <w:rsid w:val="00F7491F"/>
    <w:rsid w:val="00F74988"/>
    <w:rsid w:val="00F74B66"/>
    <w:rsid w:val="00F74DBA"/>
    <w:rsid w:val="00F74E1F"/>
    <w:rsid w:val="00F77B01"/>
    <w:rsid w:val="00F77C7A"/>
    <w:rsid w:val="00F77D14"/>
    <w:rsid w:val="00F808E9"/>
    <w:rsid w:val="00F80F4E"/>
    <w:rsid w:val="00F80F67"/>
    <w:rsid w:val="00F8113F"/>
    <w:rsid w:val="00F813D9"/>
    <w:rsid w:val="00F81FCA"/>
    <w:rsid w:val="00F82217"/>
    <w:rsid w:val="00F82386"/>
    <w:rsid w:val="00F8284E"/>
    <w:rsid w:val="00F82AC3"/>
    <w:rsid w:val="00F82BDF"/>
    <w:rsid w:val="00F82EE4"/>
    <w:rsid w:val="00F836E3"/>
    <w:rsid w:val="00F84B52"/>
    <w:rsid w:val="00F85386"/>
    <w:rsid w:val="00F859D7"/>
    <w:rsid w:val="00F85CBE"/>
    <w:rsid w:val="00F865C7"/>
    <w:rsid w:val="00F86AD0"/>
    <w:rsid w:val="00F872E1"/>
    <w:rsid w:val="00F87B8D"/>
    <w:rsid w:val="00F902A0"/>
    <w:rsid w:val="00F90C48"/>
    <w:rsid w:val="00F91DE6"/>
    <w:rsid w:val="00F92AA6"/>
    <w:rsid w:val="00F943F5"/>
    <w:rsid w:val="00F94547"/>
    <w:rsid w:val="00F9460A"/>
    <w:rsid w:val="00F94E1F"/>
    <w:rsid w:val="00F950BB"/>
    <w:rsid w:val="00F955A4"/>
    <w:rsid w:val="00F95ED4"/>
    <w:rsid w:val="00F9622A"/>
    <w:rsid w:val="00F9689B"/>
    <w:rsid w:val="00F96AC6"/>
    <w:rsid w:val="00F96E17"/>
    <w:rsid w:val="00F9742B"/>
    <w:rsid w:val="00F976D8"/>
    <w:rsid w:val="00FA00CB"/>
    <w:rsid w:val="00FA05B0"/>
    <w:rsid w:val="00FA0C6F"/>
    <w:rsid w:val="00FA0FEA"/>
    <w:rsid w:val="00FA1D02"/>
    <w:rsid w:val="00FA2021"/>
    <w:rsid w:val="00FA24A8"/>
    <w:rsid w:val="00FA2A55"/>
    <w:rsid w:val="00FA35C6"/>
    <w:rsid w:val="00FA3E62"/>
    <w:rsid w:val="00FA46B2"/>
    <w:rsid w:val="00FA4A94"/>
    <w:rsid w:val="00FA556D"/>
    <w:rsid w:val="00FA5669"/>
    <w:rsid w:val="00FA586B"/>
    <w:rsid w:val="00FA5E00"/>
    <w:rsid w:val="00FA60BE"/>
    <w:rsid w:val="00FA63B9"/>
    <w:rsid w:val="00FA6DDA"/>
    <w:rsid w:val="00FA7350"/>
    <w:rsid w:val="00FA7378"/>
    <w:rsid w:val="00FA7EA1"/>
    <w:rsid w:val="00FB0646"/>
    <w:rsid w:val="00FB1484"/>
    <w:rsid w:val="00FB190A"/>
    <w:rsid w:val="00FB23E1"/>
    <w:rsid w:val="00FB2646"/>
    <w:rsid w:val="00FB2B14"/>
    <w:rsid w:val="00FB2FD6"/>
    <w:rsid w:val="00FB343C"/>
    <w:rsid w:val="00FB3B5A"/>
    <w:rsid w:val="00FB3CB7"/>
    <w:rsid w:val="00FB491C"/>
    <w:rsid w:val="00FB538B"/>
    <w:rsid w:val="00FB6B21"/>
    <w:rsid w:val="00FB6B38"/>
    <w:rsid w:val="00FB7FB3"/>
    <w:rsid w:val="00FC04DF"/>
    <w:rsid w:val="00FC0667"/>
    <w:rsid w:val="00FC06EB"/>
    <w:rsid w:val="00FC0BCB"/>
    <w:rsid w:val="00FC0FA7"/>
    <w:rsid w:val="00FC1BF8"/>
    <w:rsid w:val="00FC2654"/>
    <w:rsid w:val="00FC2694"/>
    <w:rsid w:val="00FC2E33"/>
    <w:rsid w:val="00FC3DAE"/>
    <w:rsid w:val="00FC3F18"/>
    <w:rsid w:val="00FC402D"/>
    <w:rsid w:val="00FC44BD"/>
    <w:rsid w:val="00FC4695"/>
    <w:rsid w:val="00FC4887"/>
    <w:rsid w:val="00FC4AC7"/>
    <w:rsid w:val="00FC5350"/>
    <w:rsid w:val="00FC54CB"/>
    <w:rsid w:val="00FC563C"/>
    <w:rsid w:val="00FC597C"/>
    <w:rsid w:val="00FC6246"/>
    <w:rsid w:val="00FC62CA"/>
    <w:rsid w:val="00FC6669"/>
    <w:rsid w:val="00FC66F2"/>
    <w:rsid w:val="00FC7340"/>
    <w:rsid w:val="00FD0395"/>
    <w:rsid w:val="00FD060D"/>
    <w:rsid w:val="00FD07E1"/>
    <w:rsid w:val="00FD0D01"/>
    <w:rsid w:val="00FD0FEF"/>
    <w:rsid w:val="00FD1616"/>
    <w:rsid w:val="00FD24DC"/>
    <w:rsid w:val="00FD2AAB"/>
    <w:rsid w:val="00FD2AC2"/>
    <w:rsid w:val="00FD2AD4"/>
    <w:rsid w:val="00FD300B"/>
    <w:rsid w:val="00FD3809"/>
    <w:rsid w:val="00FD3898"/>
    <w:rsid w:val="00FD3FE8"/>
    <w:rsid w:val="00FD42D8"/>
    <w:rsid w:val="00FD4432"/>
    <w:rsid w:val="00FD457E"/>
    <w:rsid w:val="00FD5056"/>
    <w:rsid w:val="00FD5306"/>
    <w:rsid w:val="00FD5690"/>
    <w:rsid w:val="00FD5A55"/>
    <w:rsid w:val="00FD5F42"/>
    <w:rsid w:val="00FD6388"/>
    <w:rsid w:val="00FD63C8"/>
    <w:rsid w:val="00FD6970"/>
    <w:rsid w:val="00FD738D"/>
    <w:rsid w:val="00FD7A5F"/>
    <w:rsid w:val="00FD7BB2"/>
    <w:rsid w:val="00FD7F4A"/>
    <w:rsid w:val="00FD7FA5"/>
    <w:rsid w:val="00FE0001"/>
    <w:rsid w:val="00FE1139"/>
    <w:rsid w:val="00FE1478"/>
    <w:rsid w:val="00FE1F99"/>
    <w:rsid w:val="00FE2702"/>
    <w:rsid w:val="00FE30CF"/>
    <w:rsid w:val="00FE340A"/>
    <w:rsid w:val="00FE38A4"/>
    <w:rsid w:val="00FE3FD8"/>
    <w:rsid w:val="00FE4EFF"/>
    <w:rsid w:val="00FE4F37"/>
    <w:rsid w:val="00FE5923"/>
    <w:rsid w:val="00FE5A3B"/>
    <w:rsid w:val="00FE5BFF"/>
    <w:rsid w:val="00FE6CE4"/>
    <w:rsid w:val="00FE7277"/>
    <w:rsid w:val="00FE7321"/>
    <w:rsid w:val="00FE7615"/>
    <w:rsid w:val="00FE7B41"/>
    <w:rsid w:val="00FF0281"/>
    <w:rsid w:val="00FF0398"/>
    <w:rsid w:val="00FF05B9"/>
    <w:rsid w:val="00FF05F4"/>
    <w:rsid w:val="00FF0627"/>
    <w:rsid w:val="00FF069A"/>
    <w:rsid w:val="00FF06CA"/>
    <w:rsid w:val="00FF0AC6"/>
    <w:rsid w:val="00FF0E73"/>
    <w:rsid w:val="00FF11A7"/>
    <w:rsid w:val="00FF20A6"/>
    <w:rsid w:val="00FF26C3"/>
    <w:rsid w:val="00FF28A8"/>
    <w:rsid w:val="00FF3197"/>
    <w:rsid w:val="00FF3FF5"/>
    <w:rsid w:val="00FF424F"/>
    <w:rsid w:val="00FF507F"/>
    <w:rsid w:val="00FF5142"/>
    <w:rsid w:val="00FF5278"/>
    <w:rsid w:val="00FF57A4"/>
    <w:rsid w:val="00FF620C"/>
    <w:rsid w:val="00FF63E1"/>
    <w:rsid w:val="00FF6511"/>
    <w:rsid w:val="00FF66D4"/>
    <w:rsid w:val="00FF718C"/>
    <w:rsid w:val="00FF76E8"/>
    <w:rsid w:val="00FF7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46347"/>
    <w:rPr>
      <w:sz w:val="20"/>
      <w:szCs w:val="20"/>
    </w:rPr>
  </w:style>
  <w:style w:type="character" w:styleId="FootnoteReference">
    <w:name w:val="footnote reference"/>
    <w:basedOn w:val="DefaultParagraphFont"/>
    <w:semiHidden/>
    <w:rsid w:val="00C46347"/>
    <w:rPr>
      <w:vertAlign w:val="superscript"/>
    </w:rPr>
  </w:style>
  <w:style w:type="table" w:styleId="TableGrid">
    <w:name w:val="Table Grid"/>
    <w:basedOn w:val="TableNormal"/>
    <w:rsid w:val="00745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F76DC"/>
    <w:rPr>
      <w:color w:val="0000FF"/>
      <w:u w:val="single"/>
    </w:rPr>
  </w:style>
  <w:style w:type="paragraph" w:styleId="Footer">
    <w:name w:val="footer"/>
    <w:basedOn w:val="Normal"/>
    <w:rsid w:val="00C4364E"/>
    <w:pPr>
      <w:tabs>
        <w:tab w:val="center" w:pos="4320"/>
        <w:tab w:val="right" w:pos="8640"/>
      </w:tabs>
    </w:pPr>
  </w:style>
  <w:style w:type="character" w:styleId="PageNumber">
    <w:name w:val="page number"/>
    <w:basedOn w:val="DefaultParagraphFont"/>
    <w:rsid w:val="00C4364E"/>
  </w:style>
  <w:style w:type="paragraph" w:styleId="BalloonText">
    <w:name w:val="Balloon Text"/>
    <w:basedOn w:val="Normal"/>
    <w:semiHidden/>
    <w:rsid w:val="00203437"/>
    <w:rPr>
      <w:rFonts w:ascii="Tahoma" w:hAnsi="Tahoma" w:cs="Tahoma"/>
      <w:sz w:val="16"/>
      <w:szCs w:val="16"/>
    </w:rPr>
  </w:style>
  <w:style w:type="paragraph" w:styleId="Header">
    <w:name w:val="header"/>
    <w:basedOn w:val="Normal"/>
    <w:rsid w:val="0055179A"/>
    <w:pPr>
      <w:tabs>
        <w:tab w:val="center" w:pos="4320"/>
        <w:tab w:val="right" w:pos="8640"/>
      </w:tabs>
    </w:pPr>
  </w:style>
  <w:style w:type="paragraph" w:styleId="ListParagraph">
    <w:name w:val="List Paragraph"/>
    <w:basedOn w:val="Normal"/>
    <w:uiPriority w:val="34"/>
    <w:qFormat/>
    <w:rsid w:val="00D97B3C"/>
    <w:pPr>
      <w:ind w:left="720"/>
      <w:contextualSpacing/>
    </w:pPr>
  </w:style>
  <w:style w:type="character" w:styleId="CommentReference">
    <w:name w:val="annotation reference"/>
    <w:basedOn w:val="DefaultParagraphFont"/>
    <w:rsid w:val="00822E3D"/>
    <w:rPr>
      <w:sz w:val="16"/>
      <w:szCs w:val="16"/>
    </w:rPr>
  </w:style>
  <w:style w:type="paragraph" w:styleId="CommentText">
    <w:name w:val="annotation text"/>
    <w:basedOn w:val="Normal"/>
    <w:link w:val="CommentTextChar"/>
    <w:rsid w:val="00822E3D"/>
    <w:rPr>
      <w:sz w:val="20"/>
      <w:szCs w:val="20"/>
    </w:rPr>
  </w:style>
  <w:style w:type="character" w:customStyle="1" w:styleId="CommentTextChar">
    <w:name w:val="Comment Text Char"/>
    <w:basedOn w:val="DefaultParagraphFont"/>
    <w:link w:val="CommentText"/>
    <w:rsid w:val="00822E3D"/>
  </w:style>
  <w:style w:type="paragraph" w:styleId="CommentSubject">
    <w:name w:val="annotation subject"/>
    <w:basedOn w:val="CommentText"/>
    <w:next w:val="CommentText"/>
    <w:link w:val="CommentSubjectChar"/>
    <w:rsid w:val="00822E3D"/>
    <w:rPr>
      <w:b/>
      <w:bCs/>
    </w:rPr>
  </w:style>
  <w:style w:type="character" w:customStyle="1" w:styleId="CommentSubjectChar">
    <w:name w:val="Comment Subject Char"/>
    <w:basedOn w:val="CommentTextChar"/>
    <w:link w:val="CommentSubject"/>
    <w:rsid w:val="00822E3D"/>
    <w:rPr>
      <w:b/>
      <w:bCs/>
    </w:rPr>
  </w:style>
  <w:style w:type="paragraph" w:styleId="EndnoteText">
    <w:name w:val="endnote text"/>
    <w:basedOn w:val="Normal"/>
    <w:link w:val="EndnoteTextChar"/>
    <w:rsid w:val="00F84B52"/>
    <w:rPr>
      <w:sz w:val="20"/>
      <w:szCs w:val="20"/>
    </w:rPr>
  </w:style>
  <w:style w:type="character" w:customStyle="1" w:styleId="EndnoteTextChar">
    <w:name w:val="Endnote Text Char"/>
    <w:basedOn w:val="DefaultParagraphFont"/>
    <w:link w:val="EndnoteText"/>
    <w:rsid w:val="00F84B52"/>
  </w:style>
  <w:style w:type="character" w:styleId="EndnoteReference">
    <w:name w:val="endnote reference"/>
    <w:basedOn w:val="DefaultParagraphFont"/>
    <w:rsid w:val="00F84B52"/>
    <w:rPr>
      <w:vertAlign w:val="superscript"/>
    </w:rPr>
  </w:style>
  <w:style w:type="paragraph" w:styleId="Revision">
    <w:name w:val="Revision"/>
    <w:hidden/>
    <w:uiPriority w:val="99"/>
    <w:semiHidden/>
    <w:rsid w:val="008210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14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C46347"/>
    <w:rPr>
      <w:sz w:val="20"/>
      <w:szCs w:val="20"/>
    </w:rPr>
  </w:style>
  <w:style w:type="character" w:styleId="FootnoteReference">
    <w:name w:val="footnote reference"/>
    <w:basedOn w:val="DefaultParagraphFont"/>
    <w:semiHidden/>
    <w:rsid w:val="00C46347"/>
    <w:rPr>
      <w:vertAlign w:val="superscript"/>
    </w:rPr>
  </w:style>
  <w:style w:type="table" w:styleId="TableGrid">
    <w:name w:val="Table Grid"/>
    <w:basedOn w:val="TableNormal"/>
    <w:rsid w:val="00745D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F76DC"/>
    <w:rPr>
      <w:color w:val="0000FF"/>
      <w:u w:val="single"/>
    </w:rPr>
  </w:style>
  <w:style w:type="paragraph" w:styleId="Footer">
    <w:name w:val="footer"/>
    <w:basedOn w:val="Normal"/>
    <w:rsid w:val="00C4364E"/>
    <w:pPr>
      <w:tabs>
        <w:tab w:val="center" w:pos="4320"/>
        <w:tab w:val="right" w:pos="8640"/>
      </w:tabs>
    </w:pPr>
  </w:style>
  <w:style w:type="character" w:styleId="PageNumber">
    <w:name w:val="page number"/>
    <w:basedOn w:val="DefaultParagraphFont"/>
    <w:rsid w:val="00C4364E"/>
  </w:style>
  <w:style w:type="paragraph" w:styleId="BalloonText">
    <w:name w:val="Balloon Text"/>
    <w:basedOn w:val="Normal"/>
    <w:semiHidden/>
    <w:rsid w:val="00203437"/>
    <w:rPr>
      <w:rFonts w:ascii="Tahoma" w:hAnsi="Tahoma" w:cs="Tahoma"/>
      <w:sz w:val="16"/>
      <w:szCs w:val="16"/>
    </w:rPr>
  </w:style>
  <w:style w:type="paragraph" w:styleId="Header">
    <w:name w:val="header"/>
    <w:basedOn w:val="Normal"/>
    <w:rsid w:val="0055179A"/>
    <w:pPr>
      <w:tabs>
        <w:tab w:val="center" w:pos="4320"/>
        <w:tab w:val="right" w:pos="8640"/>
      </w:tabs>
    </w:pPr>
  </w:style>
  <w:style w:type="paragraph" w:styleId="ListParagraph">
    <w:name w:val="List Paragraph"/>
    <w:basedOn w:val="Normal"/>
    <w:uiPriority w:val="34"/>
    <w:qFormat/>
    <w:rsid w:val="00D97B3C"/>
    <w:pPr>
      <w:ind w:left="720"/>
      <w:contextualSpacing/>
    </w:pPr>
  </w:style>
  <w:style w:type="character" w:styleId="CommentReference">
    <w:name w:val="annotation reference"/>
    <w:basedOn w:val="DefaultParagraphFont"/>
    <w:rsid w:val="00822E3D"/>
    <w:rPr>
      <w:sz w:val="16"/>
      <w:szCs w:val="16"/>
    </w:rPr>
  </w:style>
  <w:style w:type="paragraph" w:styleId="CommentText">
    <w:name w:val="annotation text"/>
    <w:basedOn w:val="Normal"/>
    <w:link w:val="CommentTextChar"/>
    <w:rsid w:val="00822E3D"/>
    <w:rPr>
      <w:sz w:val="20"/>
      <w:szCs w:val="20"/>
    </w:rPr>
  </w:style>
  <w:style w:type="character" w:customStyle="1" w:styleId="CommentTextChar">
    <w:name w:val="Comment Text Char"/>
    <w:basedOn w:val="DefaultParagraphFont"/>
    <w:link w:val="CommentText"/>
    <w:rsid w:val="00822E3D"/>
  </w:style>
  <w:style w:type="paragraph" w:styleId="CommentSubject">
    <w:name w:val="annotation subject"/>
    <w:basedOn w:val="CommentText"/>
    <w:next w:val="CommentText"/>
    <w:link w:val="CommentSubjectChar"/>
    <w:rsid w:val="00822E3D"/>
    <w:rPr>
      <w:b/>
      <w:bCs/>
    </w:rPr>
  </w:style>
  <w:style w:type="character" w:customStyle="1" w:styleId="CommentSubjectChar">
    <w:name w:val="Comment Subject Char"/>
    <w:basedOn w:val="CommentTextChar"/>
    <w:link w:val="CommentSubject"/>
    <w:rsid w:val="00822E3D"/>
    <w:rPr>
      <w:b/>
      <w:bCs/>
    </w:rPr>
  </w:style>
  <w:style w:type="paragraph" w:styleId="EndnoteText">
    <w:name w:val="endnote text"/>
    <w:basedOn w:val="Normal"/>
    <w:link w:val="EndnoteTextChar"/>
    <w:rsid w:val="00F84B52"/>
    <w:rPr>
      <w:sz w:val="20"/>
      <w:szCs w:val="20"/>
    </w:rPr>
  </w:style>
  <w:style w:type="character" w:customStyle="1" w:styleId="EndnoteTextChar">
    <w:name w:val="Endnote Text Char"/>
    <w:basedOn w:val="DefaultParagraphFont"/>
    <w:link w:val="EndnoteText"/>
    <w:rsid w:val="00F84B52"/>
  </w:style>
  <w:style w:type="character" w:styleId="EndnoteReference">
    <w:name w:val="endnote reference"/>
    <w:basedOn w:val="DefaultParagraphFont"/>
    <w:rsid w:val="00F84B52"/>
    <w:rPr>
      <w:vertAlign w:val="superscript"/>
    </w:rPr>
  </w:style>
  <w:style w:type="paragraph" w:styleId="Revision">
    <w:name w:val="Revision"/>
    <w:hidden/>
    <w:uiPriority w:val="99"/>
    <w:semiHidden/>
    <w:rsid w:val="0082102E"/>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yperlink" Target="mailto:mcgarry@ucla.edu"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mailto:haider@msu.edu" TargetMode="External"/><Relationship Id="rId14" Type="http://schemas.openxmlformats.org/officeDocument/2006/relationships/image" Target="media/image4.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CF5E0-1993-4BCA-8E0F-53B3EB0370F3}">
  <ds:schemaRefs>
    <ds:schemaRef ds:uri="http://schemas.openxmlformats.org/officeDocument/2006/bibliography"/>
  </ds:schemaRefs>
</ds:datastoreItem>
</file>

<file path=customXml/itemProps2.xml><?xml version="1.0" encoding="utf-8"?>
<ds:datastoreItem xmlns:ds="http://schemas.openxmlformats.org/officeDocument/2006/customXml" ds:itemID="{F9032A1E-0AA4-49B9-AF1C-58643B4F9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485</TotalTime>
  <Pages>41</Pages>
  <Words>8528</Words>
  <Characters>48614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Parents transfer enormous amounts of resources to their children even long after children have reach 18 and officially become adults</vt:lpstr>
    </vt:vector>
  </TitlesOfParts>
  <Company>Microsoft</Company>
  <LinksUpToDate>false</LinksUpToDate>
  <CharactersWithSpaces>57028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transfer enormous amounts of resources to their children even long after children have reach 18 and officially become adults</dc:title>
  <dc:creator>Economics</dc:creator>
  <cp:lastModifiedBy>haider</cp:lastModifiedBy>
  <cp:revision>95</cp:revision>
  <cp:lastPrinted>2014-04-13T23:54:00Z</cp:lastPrinted>
  <dcterms:created xsi:type="dcterms:W3CDTF">2014-08-20T00:59:00Z</dcterms:created>
  <dcterms:modified xsi:type="dcterms:W3CDTF">2014-09-16T13:26:00Z</dcterms:modified>
</cp:coreProperties>
</file>